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BE642" w14:textId="6E1DAAFB"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Na temelju članka 72. Zakona o </w:t>
      </w:r>
      <w:proofErr w:type="spellStart"/>
      <w:r w:rsidRPr="004828DE">
        <w:rPr>
          <w:rFonts w:ascii="Times New Roman" w:hAnsi="Times New Roman" w:cs="Times New Roman"/>
          <w:sz w:val="24"/>
          <w:szCs w:val="24"/>
          <w:lang w:val="hr-HR"/>
        </w:rPr>
        <w:t>priuštivom</w:t>
      </w:r>
      <w:proofErr w:type="spellEnd"/>
      <w:r w:rsidRPr="004828DE">
        <w:rPr>
          <w:rFonts w:ascii="Times New Roman" w:hAnsi="Times New Roman" w:cs="Times New Roman"/>
          <w:sz w:val="24"/>
          <w:szCs w:val="24"/>
          <w:lang w:val="hr-HR"/>
        </w:rPr>
        <w:t xml:space="preserve"> stanovanju (Narodne novine, broj 45/26) i članka 37. Statuta Grada Ploča (Službeni glasnik Grada Ploča, broj 5/24 i 2/25), Gradsko vijeće Grada Ploča na __. sjednici održanoj __________ 2026. godine</w:t>
      </w:r>
      <w:r w:rsidR="009D228E" w:rsidRPr="004828DE">
        <w:rPr>
          <w:rFonts w:ascii="Times New Roman" w:hAnsi="Times New Roman" w:cs="Times New Roman"/>
          <w:sz w:val="24"/>
          <w:szCs w:val="24"/>
          <w:lang w:val="hr-HR"/>
        </w:rPr>
        <w:t>,</w:t>
      </w:r>
      <w:r w:rsidRPr="004828DE">
        <w:rPr>
          <w:rFonts w:ascii="Times New Roman" w:hAnsi="Times New Roman" w:cs="Times New Roman"/>
          <w:sz w:val="24"/>
          <w:szCs w:val="24"/>
          <w:lang w:val="hr-HR"/>
        </w:rPr>
        <w:t xml:space="preserve"> donosi</w:t>
      </w:r>
    </w:p>
    <w:p w14:paraId="1A739D4A" w14:textId="77777777" w:rsidR="00BD1E30" w:rsidRPr="004828DE" w:rsidRDefault="00BD1E30" w:rsidP="004828DE">
      <w:pPr>
        <w:spacing w:line="240" w:lineRule="auto"/>
        <w:rPr>
          <w:rFonts w:ascii="Times New Roman" w:hAnsi="Times New Roman" w:cs="Times New Roman"/>
          <w:sz w:val="24"/>
          <w:szCs w:val="24"/>
          <w:lang w:val="hr-HR"/>
        </w:rPr>
      </w:pPr>
    </w:p>
    <w:p w14:paraId="0BBD54BD" w14:textId="3ADA91F1" w:rsidR="00604580" w:rsidRPr="004828DE" w:rsidRDefault="004F79E2" w:rsidP="004828DE">
      <w:pPr>
        <w:pStyle w:val="Naslov"/>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ODLUK</w:t>
      </w:r>
      <w:r w:rsidR="009D228E" w:rsidRPr="004828DE">
        <w:rPr>
          <w:rFonts w:ascii="Times New Roman" w:hAnsi="Times New Roman" w:cs="Times New Roman"/>
          <w:sz w:val="24"/>
          <w:szCs w:val="24"/>
          <w:lang w:val="hr-HR"/>
        </w:rPr>
        <w:t>U</w:t>
      </w:r>
    </w:p>
    <w:p w14:paraId="79687EAB" w14:textId="77777777" w:rsidR="00604580" w:rsidRPr="004828DE" w:rsidRDefault="004F79E2" w:rsidP="004828DE">
      <w:pPr>
        <w:keepNext/>
        <w:spacing w:line="240" w:lineRule="auto"/>
        <w:jc w:val="center"/>
        <w:rPr>
          <w:rFonts w:ascii="Times New Roman" w:hAnsi="Times New Roman" w:cs="Times New Roman"/>
          <w:b/>
          <w:sz w:val="24"/>
          <w:szCs w:val="24"/>
          <w:lang w:val="hr-HR"/>
        </w:rPr>
      </w:pPr>
      <w:r w:rsidRPr="004828DE">
        <w:rPr>
          <w:rFonts w:ascii="Times New Roman" w:hAnsi="Times New Roman" w:cs="Times New Roman"/>
          <w:b/>
          <w:sz w:val="24"/>
          <w:szCs w:val="24"/>
          <w:lang w:val="hr-HR"/>
        </w:rPr>
        <w:t>o potporama za rješavanje stambenog pitanja kupnjom zemljišta, dokupom zemljišta i razvrgnućem suvlasništva na nekretninama u vlasništvu Grada Ploča</w:t>
      </w:r>
    </w:p>
    <w:p w14:paraId="5FA2D902" w14:textId="77777777" w:rsidR="00BD1E30" w:rsidRPr="004828DE" w:rsidRDefault="00BD1E30" w:rsidP="004828DE">
      <w:pPr>
        <w:keepNext/>
        <w:spacing w:line="240" w:lineRule="auto"/>
        <w:jc w:val="center"/>
        <w:rPr>
          <w:rFonts w:ascii="Times New Roman" w:hAnsi="Times New Roman" w:cs="Times New Roman"/>
          <w:bCs/>
          <w:sz w:val="24"/>
          <w:szCs w:val="24"/>
          <w:lang w:val="hr-HR"/>
        </w:rPr>
      </w:pPr>
    </w:p>
    <w:p w14:paraId="38D0662D" w14:textId="77777777" w:rsidR="00604580" w:rsidRPr="004828DE" w:rsidRDefault="004F79E2" w:rsidP="004828DE">
      <w:pPr>
        <w:pStyle w:val="Naslov1"/>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I OPĆE ODREDBE</w:t>
      </w:r>
    </w:p>
    <w:p w14:paraId="2DEC9029"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w:t>
      </w:r>
    </w:p>
    <w:p w14:paraId="67633721"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Predmet i cilj Odluke</w:t>
      </w:r>
    </w:p>
    <w:p w14:paraId="6446DCB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Ovom se Odlukom uređuju uvjeti i postupak dodjele potpore umanjenjem kupoprodajne cijene zemljišta u vlasništvu Grada Ploča radi rješavanja stambenog pitanja i trajnog stanovanja na području Grada Ploča.</w:t>
      </w:r>
    </w:p>
    <w:p w14:paraId="0D8DDEED"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(2) Potpora se ostvaruje kroz sljedeće mjere: a) kupnju zemljišta za izgradnju </w:t>
      </w:r>
      <w:proofErr w:type="spellStart"/>
      <w:r w:rsidRPr="004828DE">
        <w:rPr>
          <w:rFonts w:ascii="Times New Roman" w:hAnsi="Times New Roman" w:cs="Times New Roman"/>
          <w:sz w:val="24"/>
          <w:szCs w:val="24"/>
          <w:lang w:val="hr-HR"/>
        </w:rPr>
        <w:t>jednoobiteljske</w:t>
      </w:r>
      <w:proofErr w:type="spellEnd"/>
      <w:r w:rsidRPr="004828DE">
        <w:rPr>
          <w:rFonts w:ascii="Times New Roman" w:hAnsi="Times New Roman" w:cs="Times New Roman"/>
          <w:sz w:val="24"/>
          <w:szCs w:val="24"/>
          <w:lang w:val="hr-HR"/>
        </w:rPr>
        <w:t xml:space="preserve"> kuće; b) dokup zemljišta uz postojeću zakonitu </w:t>
      </w:r>
      <w:proofErr w:type="spellStart"/>
      <w:r w:rsidRPr="004828DE">
        <w:rPr>
          <w:rFonts w:ascii="Times New Roman" w:hAnsi="Times New Roman" w:cs="Times New Roman"/>
          <w:sz w:val="24"/>
          <w:szCs w:val="24"/>
          <w:lang w:val="hr-HR"/>
        </w:rPr>
        <w:t>jednoobiteljsku</w:t>
      </w:r>
      <w:proofErr w:type="spellEnd"/>
      <w:r w:rsidRPr="004828DE">
        <w:rPr>
          <w:rFonts w:ascii="Times New Roman" w:hAnsi="Times New Roman" w:cs="Times New Roman"/>
          <w:sz w:val="24"/>
          <w:szCs w:val="24"/>
          <w:lang w:val="hr-HR"/>
        </w:rPr>
        <w:t xml:space="preserve"> kuću; c) stjecanje gradskog suvlasničkog dijela nekretnine sporazumnim razvrgnućem suvlasništva radi izgradnje </w:t>
      </w:r>
      <w:proofErr w:type="spellStart"/>
      <w:r w:rsidRPr="004828DE">
        <w:rPr>
          <w:rFonts w:ascii="Times New Roman" w:hAnsi="Times New Roman" w:cs="Times New Roman"/>
          <w:sz w:val="24"/>
          <w:szCs w:val="24"/>
          <w:lang w:val="hr-HR"/>
        </w:rPr>
        <w:t>jednoobiteljske</w:t>
      </w:r>
      <w:proofErr w:type="spellEnd"/>
      <w:r w:rsidRPr="004828DE">
        <w:rPr>
          <w:rFonts w:ascii="Times New Roman" w:hAnsi="Times New Roman" w:cs="Times New Roman"/>
          <w:sz w:val="24"/>
          <w:szCs w:val="24"/>
          <w:lang w:val="hr-HR"/>
        </w:rPr>
        <w:t xml:space="preserve"> kuće ili uređenja vlasničkih odnosa uz postojeću zakonitu </w:t>
      </w:r>
      <w:proofErr w:type="spellStart"/>
      <w:r w:rsidRPr="004828DE">
        <w:rPr>
          <w:rFonts w:ascii="Times New Roman" w:hAnsi="Times New Roman" w:cs="Times New Roman"/>
          <w:sz w:val="24"/>
          <w:szCs w:val="24"/>
          <w:lang w:val="hr-HR"/>
        </w:rPr>
        <w:t>jednoobiteljsku</w:t>
      </w:r>
      <w:proofErr w:type="spellEnd"/>
      <w:r w:rsidRPr="004828DE">
        <w:rPr>
          <w:rFonts w:ascii="Times New Roman" w:hAnsi="Times New Roman" w:cs="Times New Roman"/>
          <w:sz w:val="24"/>
          <w:szCs w:val="24"/>
          <w:lang w:val="hr-HR"/>
        </w:rPr>
        <w:t xml:space="preserve"> kuću.</w:t>
      </w:r>
    </w:p>
    <w:p w14:paraId="16ADF567"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Cilj je omogućiti dostupnije zemljište za vlastito stanovanje, olakšati osamostaljivanje i ostanak stanovništva te potaknuti doseljavanje i trajno stanovanje na području Grada Ploča.</w:t>
      </w:r>
    </w:p>
    <w:p w14:paraId="2AAC38F3"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2.</w:t>
      </w:r>
    </w:p>
    <w:p w14:paraId="2C119586"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Odnos prema drugim propisima i odabir nekretnina</w:t>
      </w:r>
    </w:p>
    <w:p w14:paraId="39A207F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Ova Odluka poseban je opći akt za dodjelu potpora. Na pitanja nadležnosti, procjene vrijednosti, pripreme i provedbe raspolaganja koja nisu drukčije uređena ovom Odlukom primjenjuje se Odluka o gospodarenju nekretninama u vlasništvu Grada Ploča, uz obvezno poštovanje zakona.</w:t>
      </w:r>
    </w:p>
    <w:p w14:paraId="1817E00E"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Nekretnine za pojedini postupak određuje tijelo nadležno za raspolaganje nekretninama prema zakonu, Statutu Grada Ploča i Odluci iz stavka 1. ovoga članka. Ova Odluka sama po sebi ne predstavlja odluku o prodaji pojedine nekretnine.</w:t>
      </w:r>
    </w:p>
    <w:p w14:paraId="66FB2657"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Postupak se može pokrenuti na zahtjev zainteresirane osobe ili na inicijativu Grada Ploča. Javni natječaj može obuhvatiti jednu ili više nekretnina. Podnositelj zahtjeva nema prednost pri odabiru kupca samo zato što je zatražio prodaju.</w:t>
      </w:r>
    </w:p>
    <w:p w14:paraId="4BFACCB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Ova Odluka ne obvezuje Grad na prodaju zatražene nekretnine. Zemljište namijenjeno javnoj uporabi, infrastrukturi, javnim sadržajima ili drugoj utvrđenoj potrebi Grada ne uključuje se u prodaju prema ovoj Odluci.</w:t>
      </w:r>
    </w:p>
    <w:p w14:paraId="6F8C850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(5) Mjere koje se provode na temelju Zakona o </w:t>
      </w:r>
      <w:proofErr w:type="spellStart"/>
      <w:r w:rsidRPr="004828DE">
        <w:rPr>
          <w:rFonts w:ascii="Times New Roman" w:hAnsi="Times New Roman" w:cs="Times New Roman"/>
          <w:sz w:val="24"/>
          <w:szCs w:val="24"/>
          <w:lang w:val="hr-HR"/>
        </w:rPr>
        <w:t>priuštivom</w:t>
      </w:r>
      <w:proofErr w:type="spellEnd"/>
      <w:r w:rsidRPr="004828DE">
        <w:rPr>
          <w:rFonts w:ascii="Times New Roman" w:hAnsi="Times New Roman" w:cs="Times New Roman"/>
          <w:sz w:val="24"/>
          <w:szCs w:val="24"/>
          <w:lang w:val="hr-HR"/>
        </w:rPr>
        <w:t xml:space="preserve"> stanovanju uključuju se u odgovarajući program </w:t>
      </w:r>
      <w:proofErr w:type="spellStart"/>
      <w:r w:rsidRPr="004828DE">
        <w:rPr>
          <w:rFonts w:ascii="Times New Roman" w:hAnsi="Times New Roman" w:cs="Times New Roman"/>
          <w:sz w:val="24"/>
          <w:szCs w:val="24"/>
          <w:lang w:val="hr-HR"/>
        </w:rPr>
        <w:t>priuštivog</w:t>
      </w:r>
      <w:proofErr w:type="spellEnd"/>
      <w:r w:rsidRPr="004828DE">
        <w:rPr>
          <w:rFonts w:ascii="Times New Roman" w:hAnsi="Times New Roman" w:cs="Times New Roman"/>
          <w:sz w:val="24"/>
          <w:szCs w:val="24"/>
          <w:lang w:val="hr-HR"/>
        </w:rPr>
        <w:t xml:space="preserve"> stanovanja i provode u skladu s tim Zakonom. Ovom se Odlukom ne osniva pravo na umanjenje tržišne cijene izvan zakonom dopuštenog opsega.</w:t>
      </w:r>
    </w:p>
    <w:p w14:paraId="7CD79994"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lastRenderedPageBreak/>
        <w:t>Članak 3.</w:t>
      </w:r>
    </w:p>
    <w:p w14:paraId="762BCCB5"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Značenje pojmova</w:t>
      </w:r>
    </w:p>
    <w:p w14:paraId="0959250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w:t>
      </w:r>
      <w:proofErr w:type="spellStart"/>
      <w:r w:rsidRPr="004828DE">
        <w:rPr>
          <w:rFonts w:ascii="Times New Roman" w:hAnsi="Times New Roman" w:cs="Times New Roman"/>
          <w:sz w:val="24"/>
          <w:szCs w:val="24"/>
          <w:lang w:val="hr-HR"/>
        </w:rPr>
        <w:t>Jednoobiteljska</w:t>
      </w:r>
      <w:proofErr w:type="spellEnd"/>
      <w:r w:rsidRPr="004828DE">
        <w:rPr>
          <w:rFonts w:ascii="Times New Roman" w:hAnsi="Times New Roman" w:cs="Times New Roman"/>
          <w:sz w:val="24"/>
          <w:szCs w:val="24"/>
          <w:lang w:val="hr-HR"/>
        </w:rPr>
        <w:t xml:space="preserve"> kuća u smislu ove Odluke jest manje složena zgrada s jednim stanom, u smislu propisa o gradnji i Zakona o </w:t>
      </w:r>
      <w:proofErr w:type="spellStart"/>
      <w:r w:rsidRPr="004828DE">
        <w:rPr>
          <w:rFonts w:ascii="Times New Roman" w:hAnsi="Times New Roman" w:cs="Times New Roman"/>
          <w:sz w:val="24"/>
          <w:szCs w:val="24"/>
          <w:lang w:val="hr-HR"/>
        </w:rPr>
        <w:t>priuštivom</w:t>
      </w:r>
      <w:proofErr w:type="spellEnd"/>
      <w:r w:rsidRPr="004828DE">
        <w:rPr>
          <w:rFonts w:ascii="Times New Roman" w:hAnsi="Times New Roman" w:cs="Times New Roman"/>
          <w:sz w:val="24"/>
          <w:szCs w:val="24"/>
          <w:lang w:val="hr-HR"/>
        </w:rPr>
        <w:t xml:space="preserve"> stanovanju.</w:t>
      </w:r>
    </w:p>
    <w:p w14:paraId="3BEE5F53"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Zakonita kuća jest postojeća kuća izgrađena na temelju odgovarajućeg akta ili kuća koja je prema posebnom propisu s njom izjednačena. Zakonitost zgrade sama po sebi ne dokazuje vlasništvo nad zemljištem ili zgradom.</w:t>
      </w:r>
    </w:p>
    <w:p w14:paraId="42CBCE91"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(3) Kućanstvo za potrebe utvrđivanja prednosti čine podnositelj zahtjeva i članovi njegove uže obitelji koji već zajednički stanuju i podmiruju životne potrebe ili će u predmetnoj kući uspostaviti zajedničko kućanstvo radi trajnog stanovanja. Prethodno zajedničko stanovanje i prijava prebivališta na istoj adresi nisu uvjet za uračunavanje u kućanstvo. Članovi uže obitelji utvrđuju se prema Zakonu o </w:t>
      </w:r>
      <w:proofErr w:type="spellStart"/>
      <w:r w:rsidRPr="004828DE">
        <w:rPr>
          <w:rFonts w:ascii="Times New Roman" w:hAnsi="Times New Roman" w:cs="Times New Roman"/>
          <w:sz w:val="24"/>
          <w:szCs w:val="24"/>
          <w:lang w:val="hr-HR"/>
        </w:rPr>
        <w:t>priuštivom</w:t>
      </w:r>
      <w:proofErr w:type="spellEnd"/>
      <w:r w:rsidRPr="004828DE">
        <w:rPr>
          <w:rFonts w:ascii="Times New Roman" w:hAnsi="Times New Roman" w:cs="Times New Roman"/>
          <w:sz w:val="24"/>
          <w:szCs w:val="24"/>
          <w:lang w:val="hr-HR"/>
        </w:rPr>
        <w:t xml:space="preserve"> stanovanju. Samac se smatra kućanstvom s jednim članom.</w:t>
      </w:r>
    </w:p>
    <w:p w14:paraId="1FC05B3B"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Korisnik potpore jest kupac kojem je ugovorom odobreno umanjenje kupoprodajne cijene. Ako nekretninu zajednički stječe više osoba, svi stjecatelji prihvaćaju ugovorne obveze korisnika i solidarno odgovaraju za povrat potpore.</w:t>
      </w:r>
    </w:p>
    <w:p w14:paraId="3178B60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Nadležno upravno tijelo jest upravno tijelo Grada Ploča u čijem su djelokrugu poslovi gospodarenja gradskim nekretninama.</w:t>
      </w:r>
    </w:p>
    <w:p w14:paraId="75195CD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(6) </w:t>
      </w:r>
      <w:proofErr w:type="spellStart"/>
      <w:r w:rsidRPr="004828DE">
        <w:rPr>
          <w:rFonts w:ascii="Times New Roman" w:hAnsi="Times New Roman" w:cs="Times New Roman"/>
          <w:sz w:val="24"/>
          <w:szCs w:val="24"/>
          <w:lang w:val="hr-HR"/>
        </w:rPr>
        <w:t>Jednoroditeljska</w:t>
      </w:r>
      <w:proofErr w:type="spellEnd"/>
      <w:r w:rsidRPr="004828DE">
        <w:rPr>
          <w:rFonts w:ascii="Times New Roman" w:hAnsi="Times New Roman" w:cs="Times New Roman"/>
          <w:sz w:val="24"/>
          <w:szCs w:val="24"/>
          <w:lang w:val="hr-HR"/>
        </w:rPr>
        <w:t xml:space="preserve"> obitelj jest obitelj u kojoj žive dijete odnosno djeca i jedan roditelj, u smislu Zakona o socijalnoj skrbi.</w:t>
      </w:r>
    </w:p>
    <w:p w14:paraId="690B3436"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(7) Samohrani roditelj jest roditelj koji živi sam s djetetom, sam skrbi o njemu i sam ga uzdržava, u smislu Zakona o socijalnoj skrbi.</w:t>
      </w:r>
    </w:p>
    <w:p w14:paraId="7EEB40D1"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4.</w:t>
      </w:r>
    </w:p>
    <w:p w14:paraId="222286D1"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Uvjeti za ostvarivanje potpore</w:t>
      </w:r>
    </w:p>
    <w:p w14:paraId="219AC131"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Potporu može ostvariti punoljetni državljanin Republike Hrvatske koji ispunjava uvjete za konkretnu mjeru te: a) ima prijavljeno prebivalište na području Grada Ploča; ili b) ugovorom preuzme obvezu prijave prebivališta na području Grada Ploča u roku propisanom ovom Odlukom.</w:t>
      </w:r>
    </w:p>
    <w:p w14:paraId="48F2304B" w14:textId="6C4B24F9"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Korisnik nekretninu stječe za vlastito trajno stanovanje svojega kućanstva te nema dospjelih nepodmirenih obveza prema Gradu Pločama</w:t>
      </w:r>
      <w:r w:rsidR="001A37D7" w:rsidRPr="004828DE">
        <w:rPr>
          <w:rFonts w:ascii="Times New Roman" w:hAnsi="Times New Roman" w:cs="Times New Roman"/>
          <w:sz w:val="24"/>
          <w:szCs w:val="24"/>
          <w:lang w:val="hr-HR"/>
        </w:rPr>
        <w:t xml:space="preserve">, </w:t>
      </w:r>
      <w:r w:rsidR="001A37D7" w:rsidRPr="004828DE">
        <w:rPr>
          <w:rFonts w:ascii="Times New Roman" w:hAnsi="Times New Roman" w:cs="Times New Roman"/>
          <w:kern w:val="3"/>
          <w:sz w:val="24"/>
          <w:szCs w:val="24"/>
          <w:lang w:val="hr-HR"/>
        </w:rPr>
        <w:t>ustanovama</w:t>
      </w:r>
      <w:r w:rsidR="00906AE5" w:rsidRPr="004828DE">
        <w:rPr>
          <w:rFonts w:ascii="Times New Roman" w:hAnsi="Times New Roman" w:cs="Times New Roman"/>
          <w:kern w:val="3"/>
          <w:sz w:val="24"/>
          <w:szCs w:val="24"/>
          <w:lang w:val="hr-HR"/>
        </w:rPr>
        <w:t xml:space="preserve"> kojima je Grad Ploče osnivač</w:t>
      </w:r>
      <w:r w:rsidR="001A37D7" w:rsidRPr="004828DE">
        <w:rPr>
          <w:rFonts w:ascii="Times New Roman" w:hAnsi="Times New Roman" w:cs="Times New Roman"/>
          <w:kern w:val="3"/>
          <w:sz w:val="24"/>
          <w:szCs w:val="24"/>
          <w:lang w:val="hr-HR"/>
        </w:rPr>
        <w:t xml:space="preserve"> i trgovačkim društvima u vlasništvu/suvlasništvu Grada</w:t>
      </w:r>
      <w:r w:rsidR="006F5E12" w:rsidRPr="004828DE">
        <w:rPr>
          <w:rFonts w:ascii="Times New Roman" w:hAnsi="Times New Roman" w:cs="Times New Roman"/>
          <w:kern w:val="3"/>
          <w:sz w:val="24"/>
          <w:szCs w:val="24"/>
          <w:lang w:val="hr-HR"/>
        </w:rPr>
        <w:t xml:space="preserve"> Ploča</w:t>
      </w:r>
      <w:r w:rsidRPr="004828DE">
        <w:rPr>
          <w:rFonts w:ascii="Times New Roman" w:hAnsi="Times New Roman" w:cs="Times New Roman"/>
          <w:sz w:val="24"/>
          <w:szCs w:val="24"/>
          <w:lang w:val="hr-HR"/>
        </w:rPr>
        <w:t xml:space="preserve"> ni prema državnom proračunu. Obveze čija je odgoda ili obročna otplata odobrena i uredno se izvršava ne smatraju se nepodmirenima.</w:t>
      </w:r>
    </w:p>
    <w:p w14:paraId="0E338FA1"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(3) Za ostvarivanje potpore na temelju članka 72. Zakona o </w:t>
      </w:r>
      <w:proofErr w:type="spellStart"/>
      <w:r w:rsidRPr="004828DE">
        <w:rPr>
          <w:rFonts w:ascii="Times New Roman" w:hAnsi="Times New Roman" w:cs="Times New Roman"/>
          <w:sz w:val="24"/>
          <w:szCs w:val="24"/>
          <w:lang w:val="hr-HR"/>
        </w:rPr>
        <w:t>priuštivom</w:t>
      </w:r>
      <w:proofErr w:type="spellEnd"/>
      <w:r w:rsidRPr="004828DE">
        <w:rPr>
          <w:rFonts w:ascii="Times New Roman" w:hAnsi="Times New Roman" w:cs="Times New Roman"/>
          <w:sz w:val="24"/>
          <w:szCs w:val="24"/>
          <w:lang w:val="hr-HR"/>
        </w:rPr>
        <w:t xml:space="preserve"> stanovanju korisnik mora pripadati zakonskoj ciljnoj skupini i ispunjavati uvjet iz članka 12. toga Zakona u pogledu nepostojanja odgovarajuće stambene nekretnine u vlasništvu ili suvlasništvu korisnika i članova njegove uže obitelji, uz iznimke koje zakon izričito dopušta za konkretnu vrstu potpore.</w:t>
      </w:r>
    </w:p>
    <w:p w14:paraId="6B19D9EB"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(4) Odgovarajuća stambena nekretnina i njezina vrijednosna površina utvrđuju se prema članku 12. Zakona o </w:t>
      </w:r>
      <w:proofErr w:type="spellStart"/>
      <w:r w:rsidRPr="004828DE">
        <w:rPr>
          <w:rFonts w:ascii="Times New Roman" w:hAnsi="Times New Roman" w:cs="Times New Roman"/>
          <w:sz w:val="24"/>
          <w:szCs w:val="24"/>
          <w:lang w:val="hr-HR"/>
        </w:rPr>
        <w:t>priuštivom</w:t>
      </w:r>
      <w:proofErr w:type="spellEnd"/>
      <w:r w:rsidRPr="004828DE">
        <w:rPr>
          <w:rFonts w:ascii="Times New Roman" w:hAnsi="Times New Roman" w:cs="Times New Roman"/>
          <w:sz w:val="24"/>
          <w:szCs w:val="24"/>
          <w:lang w:val="hr-HR"/>
        </w:rPr>
        <w:t xml:space="preserve"> stanovanju. Nedostatak parkiranja ili želja za proširenjem okućnice sami po sebi ne smatraju se dokazom neodgovarajuće stambene nekretnine.</w:t>
      </w:r>
    </w:p>
    <w:p w14:paraId="59CA02AE"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Posebni uvjeti propisani za potpore koje dodjeljuje APN ne primjenjuju se na gradske potpore samo zbog toga što su sadržani u istom Zakonu, nego kada je njihova primjena na konkretnu gradsku mjeru propisana zakonom. Iznimka za APN-ovu potporu ne smatra se automatski iznimkom za potporu iz ove Odluke.</w:t>
      </w:r>
    </w:p>
    <w:p w14:paraId="35D5C639" w14:textId="77777777" w:rsidR="00604580" w:rsidRPr="004828DE" w:rsidRDefault="004F79E2" w:rsidP="004828DE">
      <w:pPr>
        <w:pStyle w:val="Naslov1"/>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lastRenderedPageBreak/>
        <w:t>II VISINA POTPORE I KRITERIJI PREDNOSTI</w:t>
      </w:r>
    </w:p>
    <w:p w14:paraId="65223998"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5.</w:t>
      </w:r>
    </w:p>
    <w:p w14:paraId="6D086198"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Visina umanjenja cijene</w:t>
      </w:r>
    </w:p>
    <w:p w14:paraId="7594FB34" w14:textId="19D653E1"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Korisniku koji nije navršio 45 godina života odobrava se umanjenje kupoprodajne cijene od 60 %, a korisniku koji je navršio 45 godina života umanjenje od 40 %. U slučaju zajedničke kupnje bračnih ili izvanbračnih drugova odnosno životnih ili neformalnih životnih partnera umanjenje od 60 % primjenjuje se ako najmanje jedan od zajedničkih kupaca nije navršio 45 godina života.</w:t>
      </w:r>
    </w:p>
    <w:p w14:paraId="6F75E4D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Dob se utvrđuje na dan objave javnog natječaja, a kada je raspolaganje bez natječaja dopušteno zakonom, na dan podnošenja urednog zahtjeva.</w:t>
      </w:r>
    </w:p>
    <w:p w14:paraId="18D7E13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Dob utječe na visinu potpore i ne predstavlja poseban kriterij prednosti pri odabiru kupca.</w:t>
      </w:r>
    </w:p>
    <w:p w14:paraId="2CE708B7"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Umanjenje se primjenjuje na prihvaćenu cijenu zemljišta prije popusta, a kod raspolaganja bez natječaja na procijenjenu tržišnu vrijednost dijela nekretnine za koji je potpora dopuštena. Ne primjenjuje se na pripadajuće troškove iz članka 21. ove Odluke.</w:t>
      </w:r>
    </w:p>
    <w:p w14:paraId="36462E3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Porezne obveze utvrđuju se prema posebnim propisima. Ova Odluka ne određuje poreznu osnovicu niti oslobađa korisnika od poreza.</w:t>
      </w:r>
    </w:p>
    <w:p w14:paraId="3D68F197"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6.</w:t>
      </w:r>
    </w:p>
    <w:p w14:paraId="7E090B5D"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Opseg i ponavljanje korištenja potpore</w:t>
      </w:r>
    </w:p>
    <w:p w14:paraId="3C05E30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Potpora za kupnju zemljišta za izgradnju nove </w:t>
      </w:r>
      <w:proofErr w:type="spellStart"/>
      <w:r w:rsidRPr="004828DE">
        <w:rPr>
          <w:rFonts w:ascii="Times New Roman" w:hAnsi="Times New Roman" w:cs="Times New Roman"/>
          <w:sz w:val="24"/>
          <w:szCs w:val="24"/>
          <w:lang w:val="hr-HR"/>
        </w:rPr>
        <w:t>jednoobiteljske</w:t>
      </w:r>
      <w:proofErr w:type="spellEnd"/>
      <w:r w:rsidRPr="004828DE">
        <w:rPr>
          <w:rFonts w:ascii="Times New Roman" w:hAnsi="Times New Roman" w:cs="Times New Roman"/>
          <w:sz w:val="24"/>
          <w:szCs w:val="24"/>
          <w:lang w:val="hr-HR"/>
        </w:rPr>
        <w:t xml:space="preserve"> kuće može se ostvariti jedanput po korisniku i njegovu kućanstvu. Ista osoba ne može to pravo ponovno ostvariti promjenom podnositelja unutar istoga kućanstva.</w:t>
      </w:r>
    </w:p>
    <w:p w14:paraId="48E24659"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Ostvarivanje jedne mjere ne isključuje drugu mjeru ako su ispunjeni njezini posebni uvjeti. Za isto zemljište ili isti gradski suvlasnički dio potpora se ne može obračunati više puta.</w:t>
      </w:r>
    </w:p>
    <w:p w14:paraId="2BB1ABE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Nadležno upravno tijelo vodi evidenciju korisnika, nekretnina, površina i iznosa odobrenih potpora te izvršavanja ugovornih obveza.</w:t>
      </w:r>
    </w:p>
    <w:p w14:paraId="5A1BD7FD"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7.</w:t>
      </w:r>
    </w:p>
    <w:p w14:paraId="7939EB69"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Početna cijena i dopušteni raspon ponuda</w:t>
      </w:r>
    </w:p>
    <w:p w14:paraId="3E090791"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Početna cijena zemljišta jednaka je procijenjenoj tržišnoj vrijednosti utvrđenoj procjembenim elaboratom izrađenim prema propisima o procjeni vrijednosti nekretnina.</w:t>
      </w:r>
    </w:p>
    <w:p w14:paraId="7B74193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Ponude se iskazuju prije primjene popusta. Dopušteni raspon iznosi od 100 % do 110 % početne cijene. Ponuda ispod početne cijene nije valjana.</w:t>
      </w:r>
    </w:p>
    <w:p w14:paraId="2FF8677D"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Ako ponuditelj ponudi više od 110 % početne cijene, ponuda ostaje valjana, a za rangiranje i sklapanje ugovora priznaje se iznos od 110 % početne cijene. Prekoračenje se ne smatra razlogom za isključenje ponuditelja.</w:t>
      </w:r>
    </w:p>
    <w:p w14:paraId="67A700D9"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Pravilo iz stavka 3. ovoga članka mora biti izričito navedeno u javnom natječaju i obrascu ponude. Potpisom ponude ponuditelj prihvaća da se cijena iznad propisane granice smatra ponuđenom u najvišem dopuštenom iznosu.</w:t>
      </w:r>
    </w:p>
    <w:p w14:paraId="0CD867E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Odabrani ponuditelj plaća priznatu cijenu svoje ponude umanjenu za pripadajući popust. Nije obvezan izjednačiti svoju cijenu s cijenom ponude drugog ponuditelja.</w:t>
      </w:r>
    </w:p>
    <w:p w14:paraId="65164E3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(6) Ovaj se članak primjenjuje na kupnju cijelih čestica i na dokup kada se provodi javni natječaj. Ne primjenjuje se na određivanje naknade u sporazumnom razvrgnuću suvlasništva bez natječaja.</w:t>
      </w:r>
    </w:p>
    <w:p w14:paraId="23C4BE79"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lastRenderedPageBreak/>
        <w:t>Članak 8.</w:t>
      </w:r>
    </w:p>
    <w:p w14:paraId="4DCBFDE6"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Odabir kupca</w:t>
      </w:r>
    </w:p>
    <w:p w14:paraId="25D8478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Među valjanim ponudama prednost ima ponuditelj s većim brojem članova kućanstva iz članka 3. stavka 3. ove Odluke, utvrđenim za potrebe prednosti uz primjenu stavka 5. ovoga članka, neovisno o tome je li ponudio višu ili nižu cijenu unutar dopuštenog raspona.</w:t>
      </w:r>
    </w:p>
    <w:p w14:paraId="753C0FBA" w14:textId="4E5C961C"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Ako dva ili više ponuditelja imaju jednak broj članova kućanstva utvrđen za potrebe prednosti, prednost ima ponuditelj s višom priznatom ponuđenom cijenom prije popusta. Ako je i ta cijena jednaka, prednost ima ponuditelj s većim brojem malodobne djece koja su članovi njegova kućanstva, a ako su i tada izjednačeni, ponuditelj čija je ponuda ranije zaprimljena.</w:t>
      </w:r>
    </w:p>
    <w:p w14:paraId="1C345A0B"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Broj članova kućanstva i status samohranog roditelja utvrđuju se prema stanju na posljednji dan roka za dostavu ponuda. Osoba se u istom natječaju može uračunati samo u jedno kućanstvo.</w:t>
      </w:r>
    </w:p>
    <w:p w14:paraId="1F6F1B0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Ponuditelj dostavlja popis članova kućanstva s OIB-ima i izjavu o postojećem zajedničkom stanovanju ili namjeri uspostave zajedničkog kućanstva u predmetnoj kući te njezinu korištenju za trajno stanovanje. Grad provjerava prijavljene podatke u dostupnim evidencijama, a dodatne dokaze traži samo ako podaci nisu dostupni ili postoji opravdana sumnja u njihovu točnost.</w:t>
      </w:r>
    </w:p>
    <w:p w14:paraId="046DD7BC"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Ne primjenjuje se bodovni sustav. Isključivo za utvrđivanje prednosti prema ovom članku samohrani roditelj računa se kao dva člana kućanstva, a svako dijete koje ispunjava uvjete za uračunavanje u kućanstvo zasebno kao jedan član. Stvarni broj članova kućanstva time se uvećava za jedan, neovisno o broju djece.</w:t>
      </w:r>
    </w:p>
    <w:p w14:paraId="04F9ED2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(6) Jedan ponuditelj i članovi njegova kućanstva mogu u istom natječaju steći jednu česticu za izgradnju kuće. Ako daju ponude za više čestica, u ponudama navode redoslijed prvenstva; raspodjela se provodi prema objavljenom redoslijedu obrade čestica i pravilima ovog članka.</w:t>
      </w:r>
    </w:p>
    <w:p w14:paraId="6DDEFDEA"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(7) Uvećanje iz stavka 5. ovoga članka ne primjenjuje se pri utvrđivanju površinskih normativa, prihodovnih uvjeta ili drugih zakonskih uvjeta za ostvarivanje potpore, za koje se uzima stvarni broj osoba.</w:t>
      </w:r>
    </w:p>
    <w:p w14:paraId="1EBFF55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(8) Status samohranog roditelja utvrđuje se na temelju izjave ponuditelja i odgovarajućih isprava iz kojih proizlazi ispunjavanje uvjeta iz članka 3. stavka 7. ove Odluke. Grad koristi podatke kojima već raspolaže odnosno koje može pribaviti iz službenih evidencija. Sam razvod braka ili odvojeno prebivalište drugog roditelja nisu dovoljni za dokazivanje samohranosti.</w:t>
      </w:r>
    </w:p>
    <w:p w14:paraId="030B2725" w14:textId="77777777" w:rsidR="00604580" w:rsidRPr="004828DE" w:rsidRDefault="004F79E2" w:rsidP="004828DE">
      <w:pPr>
        <w:pStyle w:val="Naslov1"/>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III KUPNJA ZEMLJIŠTA ZA IZGRADNJU JEDNOOBITELJSKE KUĆE</w:t>
      </w:r>
    </w:p>
    <w:p w14:paraId="5DE9583C"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9.</w:t>
      </w:r>
    </w:p>
    <w:p w14:paraId="5BEACC91"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Zemljište namijenjeno prodaji</w:t>
      </w:r>
    </w:p>
    <w:p w14:paraId="59B6AE31" w14:textId="3BC78DCA"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U ovu se mjeru može uključiti zemljište na kojem je prema važećem prostornom planu dopuštena izgradnja </w:t>
      </w:r>
      <w:proofErr w:type="spellStart"/>
      <w:r w:rsidRPr="004828DE">
        <w:rPr>
          <w:rFonts w:ascii="Times New Roman" w:hAnsi="Times New Roman" w:cs="Times New Roman"/>
          <w:sz w:val="24"/>
          <w:szCs w:val="24"/>
          <w:lang w:val="hr-HR"/>
        </w:rPr>
        <w:t>jednoobiteljske</w:t>
      </w:r>
      <w:proofErr w:type="spellEnd"/>
      <w:r w:rsidRPr="004828DE">
        <w:rPr>
          <w:rFonts w:ascii="Times New Roman" w:hAnsi="Times New Roman" w:cs="Times New Roman"/>
          <w:sz w:val="24"/>
          <w:szCs w:val="24"/>
          <w:lang w:val="hr-HR"/>
        </w:rPr>
        <w:t xml:space="preserve"> kuće i koje ispunjava uvjete za građevnu česticu ili za koje je geodetskim prijedlogom parcelacije odnosno predparcelacijom utvrđena mogućnost oblikovanja takve čestice. Ako je parcelacija potrebna, kupac o svojem trošku osigurava izradu i provedbu parcelacijskog elaborata, u rokovima određenim ugovorom, a prijenos vlasništva provodi se nakon oblikovanja nekretnine koja je predmet stjecanja.</w:t>
      </w:r>
    </w:p>
    <w:p w14:paraId="50456DA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Prije objave natječaja nadležno upravno tijelo provjerava površinu i oblik čestice, namjenu, pristup prometnoj površini, uvjete infrastrukturnog opremanja, primjenjivu obvezu izrade UPU-a i ostala ograničenja važna za izgradnju. Provjera se dokumentira u spisu bez osnivanja posebnog povjerenstva.</w:t>
      </w:r>
    </w:p>
    <w:p w14:paraId="128BC5E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lastRenderedPageBreak/>
        <w:t>(3) Uvjeti koji još nisu ostvareni, planirani radovi Grada, obveze kupca i rok u kojem je gradnja moguća izričito se navode u natječaju i ugovoru. Zemljište se ne oglašava kao odmah spremno za gradnju ako to nije.</w:t>
      </w:r>
    </w:p>
    <w:p w14:paraId="173417E5" w14:textId="71974D21"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(4) Veličina čestice i uvjeti gradnje određuju se prema planu koji vrijedi za konkretnu lokaciju. Ovom se Odlukom ne mijenjaju </w:t>
      </w:r>
      <w:proofErr w:type="spellStart"/>
      <w:r w:rsidRPr="004828DE">
        <w:rPr>
          <w:rFonts w:ascii="Times New Roman" w:hAnsi="Times New Roman" w:cs="Times New Roman"/>
          <w:sz w:val="24"/>
          <w:szCs w:val="24"/>
          <w:lang w:val="hr-HR"/>
        </w:rPr>
        <w:t>prostornoplanski</w:t>
      </w:r>
      <w:proofErr w:type="spellEnd"/>
      <w:r w:rsidRPr="004828DE">
        <w:rPr>
          <w:rFonts w:ascii="Times New Roman" w:hAnsi="Times New Roman" w:cs="Times New Roman"/>
          <w:sz w:val="24"/>
          <w:szCs w:val="24"/>
          <w:lang w:val="hr-HR"/>
        </w:rPr>
        <w:t xml:space="preserve"> uvjeti niti se za sve lokacije propisuje jedinstvena najmanja površina.</w:t>
      </w:r>
    </w:p>
    <w:p w14:paraId="44857206"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10.</w:t>
      </w:r>
    </w:p>
    <w:p w14:paraId="4E74351C"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Pokretanje i priprema prodaje</w:t>
      </w:r>
    </w:p>
    <w:p w14:paraId="5B264059"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Zainteresirana osoba može zatražiti prodaju određene gradske nekretnine navodeći katastarsku općinu, oznaku čestice i namjeru izgradnje kuće. Grad može samostalno predložiti prodaju jedne ili više čestica.</w:t>
      </w:r>
    </w:p>
    <w:p w14:paraId="657F739E"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Nakon provjere mogućnosti raspolaganja pribavlja se procjena tržišne vrijednosti, određuju uvjeti prodaje i donosi odluka o pokretanju javnog natječaja.</w:t>
      </w:r>
    </w:p>
    <w:p w14:paraId="658353B5"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Sve čestice koje se prodaju u okviru ove mjere nude se uz jednake kriterije potpore i prednosti iz ove Odluke. Ova Odluka ne primjenjuje se automatski na svaku prodaju gradskog zemljišta koja nije pokrenuta kao mjera potpore.</w:t>
      </w:r>
    </w:p>
    <w:p w14:paraId="7A2F2263"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11.</w:t>
      </w:r>
    </w:p>
    <w:p w14:paraId="7D4735C9"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Javni natječaj i provedba postupka</w:t>
      </w:r>
    </w:p>
    <w:p w14:paraId="2FE749B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Javni natječaj provodi postojeće tijelo određeno Odlukom o gospodarenju nekretninama u vlasništvu Grada Ploča. Za provedbu ove Odluke ne osniva se novo stalno tijelo.</w:t>
      </w:r>
    </w:p>
    <w:p w14:paraId="5704E34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Natječaj sadržava opis nekretnine, poznata ograničenja, početnu i najvišu priznatu cijenu prije popusta, način obračuna popusta, kriterije odabira, jamčevinu, troškove koje kupac nadoknađuje Gradu, rokove plaćanja i gradnje, obveze prebivališta i stanovanja, instrument osiguranja te uvjete povrata potpore.</w:t>
      </w:r>
    </w:p>
    <w:p w14:paraId="718EF74C"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Rok za ponude, objava natječaja, jamčevina i način njezina povrata odnosno uračunavanja uređuju se općim aktom o gospodarenju nekretninama, osim ako se taj akt prethodno uskladi drukčije.</w:t>
      </w:r>
    </w:p>
    <w:p w14:paraId="14B211C7"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Nadležno tijelo donosi odluku o odabiru na temelju zapisnika i rangiranja prema ovoj Odluci. Obavijest o rezultatu dostavlja se ponuditeljima, uz podatak o razlogu nevaljanosti ili redoslijedu njihove ponude.</w:t>
      </w:r>
    </w:p>
    <w:p w14:paraId="0E60B9D1"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Prodaja neposrednom pogodbom dopuštena je samo kada za takav način raspolaganja postoji zakonska osnova. Podneseni zahtjev i izostanak drugih zainteresiranih sami po sebi ne osnivaju pravo na neposrednu pogodbu.</w:t>
      </w:r>
    </w:p>
    <w:p w14:paraId="2FC53515"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12.</w:t>
      </w:r>
    </w:p>
    <w:p w14:paraId="3B923C46"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Izgradnja kuće i rokovi</w:t>
      </w:r>
    </w:p>
    <w:p w14:paraId="741F1481"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Kupac je dužan izgraditi </w:t>
      </w:r>
      <w:proofErr w:type="spellStart"/>
      <w:r w:rsidRPr="004828DE">
        <w:rPr>
          <w:rFonts w:ascii="Times New Roman" w:hAnsi="Times New Roman" w:cs="Times New Roman"/>
          <w:sz w:val="24"/>
          <w:szCs w:val="24"/>
          <w:lang w:val="hr-HR"/>
        </w:rPr>
        <w:t>jednoobiteljsku</w:t>
      </w:r>
      <w:proofErr w:type="spellEnd"/>
      <w:r w:rsidRPr="004828DE">
        <w:rPr>
          <w:rFonts w:ascii="Times New Roman" w:hAnsi="Times New Roman" w:cs="Times New Roman"/>
          <w:sz w:val="24"/>
          <w:szCs w:val="24"/>
          <w:lang w:val="hr-HR"/>
        </w:rPr>
        <w:t xml:space="preserve"> kuću i ishoditi uporabnu dozvolu odnosno drugi odgovarajući akt za uporabu u roku od pet godina od sklapanja ugovora.</w:t>
      </w:r>
    </w:p>
    <w:p w14:paraId="67629937"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Ako prema natječaju Grad prije početka gradnje treba osigurati pristup ili drugu nužnu infrastrukturu, rok iz stavka 1. počinje teći od dana kada su ugovoreni preduvjeti ostvareni. Grad o tom danu pisano obavještava kupca.</w:t>
      </w:r>
    </w:p>
    <w:p w14:paraId="4C9CB2AA"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lastRenderedPageBreak/>
        <w:t>(3) Na obrazložen zahtjev predan prije isteka roka nadležno tijelo može rok jednokratno produljiti najviše dvije godine ako kašnjenje proizlazi iz okolnosti na koje kupac nije mogao utjecati. O produljenju se sklapa dodatak ugovoru.</w:t>
      </w:r>
    </w:p>
    <w:p w14:paraId="327EFBE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Kupac ne smije kuću namijeniti prodaji, turističkom iznajmljivanju ili drugoj pretežito gospodarskoj uporabi tijekom ugovorenog razdoblja vlastitog stanovanja.</w:t>
      </w:r>
    </w:p>
    <w:p w14:paraId="4C918B3A" w14:textId="77777777" w:rsidR="00604580" w:rsidRPr="004828DE" w:rsidRDefault="004F79E2" w:rsidP="004828DE">
      <w:pPr>
        <w:pStyle w:val="Naslov1"/>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IV DOKUP ZEMLJIŠTA UZ POSTOJEĆU JEDNOOBITELJSKU KUĆU</w:t>
      </w:r>
    </w:p>
    <w:p w14:paraId="06971B85"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13.</w:t>
      </w:r>
    </w:p>
    <w:p w14:paraId="6E0782EC"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Predmet i svrha dokupa</w:t>
      </w:r>
    </w:p>
    <w:p w14:paraId="31368E1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Dokup je kupnja gradske čestice ili njezina dijela koji neposredno graniči sa zemljištem u vlasništvu ili suvlasništvu podnositelja zahtjeva na kojem postoji zakonita </w:t>
      </w:r>
      <w:proofErr w:type="spellStart"/>
      <w:r w:rsidRPr="004828DE">
        <w:rPr>
          <w:rFonts w:ascii="Times New Roman" w:hAnsi="Times New Roman" w:cs="Times New Roman"/>
          <w:sz w:val="24"/>
          <w:szCs w:val="24"/>
          <w:lang w:val="hr-HR"/>
        </w:rPr>
        <w:t>jednoobiteljska</w:t>
      </w:r>
      <w:proofErr w:type="spellEnd"/>
      <w:r w:rsidRPr="004828DE">
        <w:rPr>
          <w:rFonts w:ascii="Times New Roman" w:hAnsi="Times New Roman" w:cs="Times New Roman"/>
          <w:sz w:val="24"/>
          <w:szCs w:val="24"/>
          <w:lang w:val="hr-HR"/>
        </w:rPr>
        <w:t xml:space="preserve"> kuća.</w:t>
      </w:r>
    </w:p>
    <w:p w14:paraId="14F714CE"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Dokup se može razmatrati radi dogradnje ili rekonstrukcije kuće, poboljšanja pristupa, osiguranja parkiranja, uređenja okućnice i drugih sadržaja u funkciji redovne uporabe kuće i trajnog stanovanja.</w:t>
      </w:r>
    </w:p>
    <w:p w14:paraId="65E5D8A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Namjena iz stavka 2. nije sama po sebi zakonski temelj za umanjenje tržišne cijene. Potpora se može odobriti samo ako su ispunjeni uvjeti iz članka 4. i postoji zakonska osnova da konkretan zahvat i raspolaganje budu obuhvaćeni potporom. Ako ti uvjeti nisu ispunjeni, zahtjev se može razmatrati prema općim pravilima raspolaganja uz tržišnu naknadu.</w:t>
      </w:r>
    </w:p>
    <w:p w14:paraId="3DB4A8BA"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Dokupom se ne smije umanjiti sigurnost prometa, onemogućiti javni pristup, ugroziti infrastruktura ili funkcionalnost susjednih nekretnina, niti ostatak gradskog zemljišta učiniti neuporabljivim ili bitno manje vrijednim.</w:t>
      </w:r>
    </w:p>
    <w:p w14:paraId="56B9B44C"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14.</w:t>
      </w:r>
    </w:p>
    <w:p w14:paraId="2D46A173"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Prikladnost gradskog zemljišta za dokup</w:t>
      </w:r>
    </w:p>
    <w:p w14:paraId="09AC8A7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Za dokup prema ovoj Odluci može se odrediti zemljište koje nije prikladno zadržati i ponuditi kao samostalnu česticu za izgradnju </w:t>
      </w:r>
      <w:proofErr w:type="spellStart"/>
      <w:r w:rsidRPr="004828DE">
        <w:rPr>
          <w:rFonts w:ascii="Times New Roman" w:hAnsi="Times New Roman" w:cs="Times New Roman"/>
          <w:sz w:val="24"/>
          <w:szCs w:val="24"/>
          <w:lang w:val="hr-HR"/>
        </w:rPr>
        <w:t>jednoobiteljske</w:t>
      </w:r>
      <w:proofErr w:type="spellEnd"/>
      <w:r w:rsidRPr="004828DE">
        <w:rPr>
          <w:rFonts w:ascii="Times New Roman" w:hAnsi="Times New Roman" w:cs="Times New Roman"/>
          <w:sz w:val="24"/>
          <w:szCs w:val="24"/>
          <w:lang w:val="hr-HR"/>
        </w:rPr>
        <w:t xml:space="preserve"> kuće zato što: a) prema važećem prostornom planu i uvjetima konkretne lokacije ne ispunjava uvjete za takvu građevnu česticu; ili b) bi njegovo samostalno privođenje takvoj namjeni zahtijevalo </w:t>
      </w:r>
      <w:proofErr w:type="spellStart"/>
      <w:r w:rsidRPr="004828DE">
        <w:rPr>
          <w:rFonts w:ascii="Times New Roman" w:hAnsi="Times New Roman" w:cs="Times New Roman"/>
          <w:sz w:val="24"/>
          <w:szCs w:val="24"/>
          <w:lang w:val="hr-HR"/>
        </w:rPr>
        <w:t>nesrazmjerne</w:t>
      </w:r>
      <w:proofErr w:type="spellEnd"/>
      <w:r w:rsidRPr="004828DE">
        <w:rPr>
          <w:rFonts w:ascii="Times New Roman" w:hAnsi="Times New Roman" w:cs="Times New Roman"/>
          <w:sz w:val="24"/>
          <w:szCs w:val="24"/>
          <w:lang w:val="hr-HR"/>
        </w:rPr>
        <w:t xml:space="preserve"> troškove iskopa, potpornih zidova, osiguranja pristupa ili drugih nužnih radova.</w:t>
      </w:r>
    </w:p>
    <w:p w14:paraId="3B48372B"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(2) Nadležno upravno tijelo sastavlja pisano obrazloženje na temelju planskih podataka, dostupnih podloga i prema potrebi uvida na terenu. Dodatni stručni nalaz pribavlja se samo ako je potreban za pouzdanu ocjenu, osobito kada su </w:t>
      </w:r>
      <w:proofErr w:type="spellStart"/>
      <w:r w:rsidRPr="004828DE">
        <w:rPr>
          <w:rFonts w:ascii="Times New Roman" w:hAnsi="Times New Roman" w:cs="Times New Roman"/>
          <w:sz w:val="24"/>
          <w:szCs w:val="24"/>
          <w:lang w:val="hr-HR"/>
        </w:rPr>
        <w:t>nesrazmjerni</w:t>
      </w:r>
      <w:proofErr w:type="spellEnd"/>
      <w:r w:rsidRPr="004828DE">
        <w:rPr>
          <w:rFonts w:ascii="Times New Roman" w:hAnsi="Times New Roman" w:cs="Times New Roman"/>
          <w:sz w:val="24"/>
          <w:szCs w:val="24"/>
          <w:lang w:val="hr-HR"/>
        </w:rPr>
        <w:t xml:space="preserve"> troškovi jedini razlog predloženog dokupa.</w:t>
      </w:r>
    </w:p>
    <w:p w14:paraId="5C793AD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Ako se ekonomska nepovoljnost ne može jasno utvrditi, Grad može prije odluke o prodaji dijela zemljišta provesti javni natječaj za prodaju cijele raspoložive čestice. Kada se čestica nudi u okviru potpore za izgradnju kuće, primjenjuju se uvjeti i popusti iz ove Odluke.</w:t>
      </w:r>
    </w:p>
    <w:p w14:paraId="31D36296"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Izostanak valjanih ponuda uzima se u obzir kao dodatni pokazatelj tržišne nezainteresiranosti. Sam po sebi ne dokazuje ekonomsku nepovoljnost niti oslobađa Grad od obrazloženja zašto je opravdan dokup umjesto samostalne prodaje.</w:t>
      </w:r>
    </w:p>
    <w:p w14:paraId="1579E079"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15.</w:t>
      </w:r>
    </w:p>
    <w:p w14:paraId="7FA53C79"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Najveća površina uz popust</w:t>
      </w:r>
    </w:p>
    <w:p w14:paraId="010DE8D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Umanjenje cijene za dokup može se odobriti za najviše 100 m² gradskog zemljišta uz istu postojeću </w:t>
      </w:r>
      <w:proofErr w:type="spellStart"/>
      <w:r w:rsidRPr="004828DE">
        <w:rPr>
          <w:rFonts w:ascii="Times New Roman" w:hAnsi="Times New Roman" w:cs="Times New Roman"/>
          <w:sz w:val="24"/>
          <w:szCs w:val="24"/>
          <w:lang w:val="hr-HR"/>
        </w:rPr>
        <w:t>jednoobiteljsku</w:t>
      </w:r>
      <w:proofErr w:type="spellEnd"/>
      <w:r w:rsidRPr="004828DE">
        <w:rPr>
          <w:rFonts w:ascii="Times New Roman" w:hAnsi="Times New Roman" w:cs="Times New Roman"/>
          <w:sz w:val="24"/>
          <w:szCs w:val="24"/>
          <w:lang w:val="hr-HR"/>
        </w:rPr>
        <w:t xml:space="preserve"> kuću.</w:t>
      </w:r>
    </w:p>
    <w:p w14:paraId="0DAA55C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lastRenderedPageBreak/>
        <w:t>(2) U ograničenje iz stavka 1. uračunava se zbroj svih površina kupljenih uz potporu za dokup uz tu kuću. Promjena vlasnika, podnositelja, suvlasničkih udjela ili članova kućanstva ne otvara novo pravo na dodatnih 100 m².</w:t>
      </w:r>
    </w:p>
    <w:p w14:paraId="5AA871D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(3) Kada isto gradsko zemljište graniči s više zasebnih </w:t>
      </w:r>
      <w:proofErr w:type="spellStart"/>
      <w:r w:rsidRPr="004828DE">
        <w:rPr>
          <w:rFonts w:ascii="Times New Roman" w:hAnsi="Times New Roman" w:cs="Times New Roman"/>
          <w:sz w:val="24"/>
          <w:szCs w:val="24"/>
          <w:lang w:val="hr-HR"/>
        </w:rPr>
        <w:t>jednoobiteljskih</w:t>
      </w:r>
      <w:proofErr w:type="spellEnd"/>
      <w:r w:rsidRPr="004828DE">
        <w:rPr>
          <w:rFonts w:ascii="Times New Roman" w:hAnsi="Times New Roman" w:cs="Times New Roman"/>
          <w:sz w:val="24"/>
          <w:szCs w:val="24"/>
          <w:lang w:val="hr-HR"/>
        </w:rPr>
        <w:t xml:space="preserve"> kuća, ograničenje od 100 m² primjenjuje se zasebno za svaku kuću. To ograničenje nije zajednički fond od 100 m² za sve susjede iste gradske čestice.</w:t>
      </w:r>
    </w:p>
    <w:p w14:paraId="0B23B78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Ako se odobrava kupnja veće površine, dio iznad preostalog raspoloživog ograničenja plaća se bez popusta. Cijena prije popusta raspoređuje se razmjerno površini, osim kada procjembeni elaborat utvrdi različite jedinične vrijednosti pojedinih dijelova.</w:t>
      </w:r>
    </w:p>
    <w:p w14:paraId="7443BE28"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16.</w:t>
      </w:r>
    </w:p>
    <w:p w14:paraId="65E2ECC1"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Više zainteresiranih susjeda</w:t>
      </w:r>
    </w:p>
    <w:p w14:paraId="4DA19B6D"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Ako je moguće oblikovati odvojene dijelove za dokup uz više susjednih kuća bez štetnih posljedica iz članka 13. stavka 4., Grad može te dijelove ponuditi zasebno.</w:t>
      </w:r>
    </w:p>
    <w:p w14:paraId="4BD49357"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Ako se više osoba natječe za isti dio zemljišta koji nije moguće opravdano podijeliti, primjenjuju se raspon cijena i kriteriji prednosti iz članaka 7. i 8. ove Odluke. U postupku sudjeluju osobe koje ispunjavaju uvjete za dokup upravo tog zemljišta.</w:t>
      </w:r>
    </w:p>
    <w:p w14:paraId="35255C47"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Prije procjene i natječaja određuje se predloženi obuhvat dokupa. Geodetska i upravna dokumentacija pribavlja se prema zahtjevima konkretnog postupka.</w:t>
      </w:r>
    </w:p>
    <w:p w14:paraId="7551EA4E" w14:textId="77777777" w:rsidR="00604580" w:rsidRPr="004828DE" w:rsidRDefault="004F79E2" w:rsidP="004828DE">
      <w:pPr>
        <w:pStyle w:val="Naslov1"/>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V RAZVRGNUĆE SUVLASNIŠTVA</w:t>
      </w:r>
    </w:p>
    <w:p w14:paraId="62969C5C"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17.</w:t>
      </w:r>
    </w:p>
    <w:p w14:paraId="46F95029"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Uvjeti za razmatranje potpore</w:t>
      </w:r>
    </w:p>
    <w:p w14:paraId="65850D75"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Kada je Grad suvlasnik nekretnine s fizičkom osobom, na njezin se zahtjev može razmatrati sporazumno razvrgnuće suvlasništva stjecanjem gradskog suvlasničkog dijela radi izgradnje </w:t>
      </w:r>
      <w:proofErr w:type="spellStart"/>
      <w:r w:rsidRPr="004828DE">
        <w:rPr>
          <w:rFonts w:ascii="Times New Roman" w:hAnsi="Times New Roman" w:cs="Times New Roman"/>
          <w:sz w:val="24"/>
          <w:szCs w:val="24"/>
          <w:lang w:val="hr-HR"/>
        </w:rPr>
        <w:t>jednoobiteljske</w:t>
      </w:r>
      <w:proofErr w:type="spellEnd"/>
      <w:r w:rsidRPr="004828DE">
        <w:rPr>
          <w:rFonts w:ascii="Times New Roman" w:hAnsi="Times New Roman" w:cs="Times New Roman"/>
          <w:sz w:val="24"/>
          <w:szCs w:val="24"/>
          <w:lang w:val="hr-HR"/>
        </w:rPr>
        <w:t xml:space="preserve"> kuće ili uređenja vlasničkih odnosa uz postojeću zakonitu </w:t>
      </w:r>
      <w:proofErr w:type="spellStart"/>
      <w:r w:rsidRPr="004828DE">
        <w:rPr>
          <w:rFonts w:ascii="Times New Roman" w:hAnsi="Times New Roman" w:cs="Times New Roman"/>
          <w:sz w:val="24"/>
          <w:szCs w:val="24"/>
          <w:lang w:val="hr-HR"/>
        </w:rPr>
        <w:t>jednoobiteljsku</w:t>
      </w:r>
      <w:proofErr w:type="spellEnd"/>
      <w:r w:rsidRPr="004828DE">
        <w:rPr>
          <w:rFonts w:ascii="Times New Roman" w:hAnsi="Times New Roman" w:cs="Times New Roman"/>
          <w:sz w:val="24"/>
          <w:szCs w:val="24"/>
          <w:lang w:val="hr-HR"/>
        </w:rPr>
        <w:t xml:space="preserve"> kuću.</w:t>
      </w:r>
    </w:p>
    <w:p w14:paraId="3C62362B"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Za buduću gradnju provjerava se mogućnost oblikovanja i uporabe građevne čestice prema važećem prostornom planu, uključujući pristup i stvarnu mogućnost izgradnje nakon razvrgnuća.</w:t>
      </w:r>
    </w:p>
    <w:p w14:paraId="1EC4E25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Potpora uz postojeću kuću može se odobriti samo u granicama zakonske osnove i uvjeta iz članka 4. ove Odluke. Mogućnost sporazumnog razvrgnuća ili prodaje suvlasničkog dijela bez natječaja ne predstavlja sama po sebi ovlast za umanjenje tržišne vrijednosti.</w:t>
      </w:r>
    </w:p>
    <w:p w14:paraId="022C11D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Grad nije obvezan prihvatiti zahtjev ako je zadržavanje suvlasničkog dijela potrebno radi javnog interesa, ako je prikladnije geometrijsko razvrgnuće ili ako bi predloženi način bio nepovoljan za Grad.</w:t>
      </w:r>
    </w:p>
    <w:p w14:paraId="6FB4ACE8"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18.</w:t>
      </w:r>
    </w:p>
    <w:p w14:paraId="015A37A6"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Opseg vrijednosti na koju se primjenjuje popust</w:t>
      </w:r>
    </w:p>
    <w:p w14:paraId="7D158CFB"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Popust iz članka 5. primjenjuje se isključivo na procijenjenu vrijednost gradskog suvlasničkog dijela zemljišta koji je obuhvaćen zakonski dopuštenom stambenom potporom.</w:t>
      </w:r>
    </w:p>
    <w:p w14:paraId="3ECE636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(2) Kod nekretnine koja obuhvaća građevinsko i </w:t>
      </w:r>
      <w:proofErr w:type="spellStart"/>
      <w:r w:rsidRPr="004828DE">
        <w:rPr>
          <w:rFonts w:ascii="Times New Roman" w:hAnsi="Times New Roman" w:cs="Times New Roman"/>
          <w:sz w:val="24"/>
          <w:szCs w:val="24"/>
          <w:lang w:val="hr-HR"/>
        </w:rPr>
        <w:t>negrađevinsko</w:t>
      </w:r>
      <w:proofErr w:type="spellEnd"/>
      <w:r w:rsidRPr="004828DE">
        <w:rPr>
          <w:rFonts w:ascii="Times New Roman" w:hAnsi="Times New Roman" w:cs="Times New Roman"/>
          <w:sz w:val="24"/>
          <w:szCs w:val="24"/>
          <w:lang w:val="hr-HR"/>
        </w:rPr>
        <w:t xml:space="preserve"> zemljište procjembenim elaboratom odvojeno se iskazuje vrijednost zemljišta u funkciji dopuštene stambene svrhe i vrijednost ostalog zemljišta. Građevinska oznaka sama po sebi ne daje pravo na potporu, a zemljište nepovezano sa stambenom svrhom stječe se bez popusta.</w:t>
      </w:r>
    </w:p>
    <w:p w14:paraId="0EC96E1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lastRenderedPageBreak/>
        <w:t>(3) Ako Grad ima pravo na dio vrijednosti zgrade ili drugih posebnih sastavnica nekretnine, njihova se vrijednost iskazuje zasebno i ne umanjuje prema ovoj Odluci.</w:t>
      </w:r>
    </w:p>
    <w:p w14:paraId="60906CB9"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Idealni suvlasnički dio odnosi se na cijelu nekretninu i ne smatra se unaprijed određenim fizičkim brojem četvornih metara. Fizički dijelovi utvrđuju se odgovarajućom dokumentacijom i pravnim poslom razvrgnuća.</w:t>
      </w:r>
    </w:p>
    <w:p w14:paraId="1FA7DA4A"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Ograničenje od 100 m² za dokup ne primjenjuje se na razvrgnuće postojećeg suvlasništva. Njime se ne može prikriti dokup drugog zemljišta na koje se to ograničenje primjenjuje.</w:t>
      </w:r>
    </w:p>
    <w:p w14:paraId="056DFDA3"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19.</w:t>
      </w:r>
    </w:p>
    <w:p w14:paraId="67A804E5"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Postupak razvrgnuća</w:t>
      </w:r>
    </w:p>
    <w:p w14:paraId="33D0A54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Sporazumno razvrgnuće provodi se uz suglasnost svih suvlasnika i uz primjenu zakona i gradskog općeg akta o gospodarenju nekretninama. Neposredni pregovori dopušteni su samo u zakonom dopuštenom slučaju.</w:t>
      </w:r>
    </w:p>
    <w:p w14:paraId="66605CD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Prije odlučivanja pribavljaju se procjena tržišne vrijednosti, podaci o suvlasničkim pravima i obrazloženje opravdanosti predloženog načina razvrgnuća.</w:t>
      </w:r>
    </w:p>
    <w:p w14:paraId="19D6A715"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O razvrgnuću i potpori odlučuje tijelo nadležno prema vrijednosti i vrsti pravnog posla. Na bilateralno sporazumno razvrgnuće bez natječaja ne primjenjuju se kriterij broja članova kućanstva ni raspon cijena do 110 %.</w:t>
      </w:r>
    </w:p>
    <w:p w14:paraId="5AD49796"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Ako se potpora odobrava radi buduće izgradnje kuće, odgovarajuće se primjenjuju rokovi i obveze iz članka 12. ove Odluke.</w:t>
      </w:r>
    </w:p>
    <w:p w14:paraId="28C82FDC" w14:textId="77777777" w:rsidR="00604580" w:rsidRPr="004828DE" w:rsidRDefault="004F79E2" w:rsidP="004828DE">
      <w:pPr>
        <w:pStyle w:val="Naslov1"/>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VI TROŠKOVI UGOVORA I IZVRŠAVANJE OBVEZA</w:t>
      </w:r>
    </w:p>
    <w:p w14:paraId="22E0C0A6"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20.</w:t>
      </w:r>
    </w:p>
    <w:p w14:paraId="234B5CD9"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Zahtjev i provjera podataka</w:t>
      </w:r>
    </w:p>
    <w:p w14:paraId="1D35C1A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Zahtjev odnosno ponuda sadržava identifikacijske i kontaktne podatke, oznaku nekretnine, odabranu mjeru, podatke potrebne za provjeru uvjeta i izjavu o prihvaćanju ugovornih obveza.</w:t>
      </w:r>
    </w:p>
    <w:p w14:paraId="325409AD"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Grad podatke iz službenih evidencija pribavlja po službenoj dužnosti kada za to postoji pravna i tehnička mogućnost. Od podnositelja se ne traži ponovno dostavljanje podataka kojima Grad već raspolaže.</w:t>
      </w:r>
    </w:p>
    <w:p w14:paraId="5D04070A"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Dokazi o prebivalištu, vlasništvu, zakonitosti kuće, sastavu kućanstva i podmirenim obvezama traže se u opsegu potrebnom za konkretnu mjeru. U javnom natječaju odnosno pozivu navode se potrebni dokazi i dopuštene zamjene izjavom.</w:t>
      </w:r>
    </w:p>
    <w:p w14:paraId="7E8EF8A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Korisnik je dužan dostaviti točne podatke i prijaviti promjenu važnu za izvršavanje ugovora. Promjena sastava kućanstva zbog redovnih životnih okolnosti nakon odabira sama po sebi ne znači davanje neistinitih podataka.</w:t>
      </w:r>
    </w:p>
    <w:p w14:paraId="4DE504D7"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21.</w:t>
      </w:r>
    </w:p>
    <w:p w14:paraId="65F7898A"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Troškovi pripreme i provedbe</w:t>
      </w:r>
    </w:p>
    <w:p w14:paraId="6464606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Grad, prema potrebi konkretnog postupka, angažira ovlaštenog geodetskog izvoditelja za izradu geodetskog prijedloga parcelacije odnosno </w:t>
      </w:r>
      <w:proofErr w:type="spellStart"/>
      <w:r w:rsidRPr="004828DE">
        <w:rPr>
          <w:rFonts w:ascii="Times New Roman" w:hAnsi="Times New Roman" w:cs="Times New Roman"/>
          <w:sz w:val="24"/>
          <w:szCs w:val="24"/>
          <w:lang w:val="hr-HR"/>
        </w:rPr>
        <w:t>predparcelacije</w:t>
      </w:r>
      <w:proofErr w:type="spellEnd"/>
      <w:r w:rsidRPr="004828DE">
        <w:rPr>
          <w:rFonts w:ascii="Times New Roman" w:hAnsi="Times New Roman" w:cs="Times New Roman"/>
          <w:sz w:val="24"/>
          <w:szCs w:val="24"/>
          <w:lang w:val="hr-HR"/>
        </w:rPr>
        <w:t xml:space="preserve"> te ovlaštenog procjenitelja za izradu procjembenog elaborata tržišne vrijednosti.</w:t>
      </w:r>
    </w:p>
    <w:p w14:paraId="79D23CA1"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lastRenderedPageBreak/>
        <w:t xml:space="preserve">(2) Kupac Gradu Pločama nadoknađuje stvarne, dokumentirane troškove izrade geodetskog prijedloga parcelacije odnosno </w:t>
      </w:r>
      <w:proofErr w:type="spellStart"/>
      <w:r w:rsidRPr="004828DE">
        <w:rPr>
          <w:rFonts w:ascii="Times New Roman" w:hAnsi="Times New Roman" w:cs="Times New Roman"/>
          <w:sz w:val="24"/>
          <w:szCs w:val="24"/>
          <w:lang w:val="hr-HR"/>
        </w:rPr>
        <w:t>predparcelacije</w:t>
      </w:r>
      <w:proofErr w:type="spellEnd"/>
      <w:r w:rsidRPr="004828DE">
        <w:rPr>
          <w:rFonts w:ascii="Times New Roman" w:hAnsi="Times New Roman" w:cs="Times New Roman"/>
          <w:sz w:val="24"/>
          <w:szCs w:val="24"/>
          <w:lang w:val="hr-HR"/>
        </w:rPr>
        <w:t xml:space="preserve"> i procjembenog elaborata koji izrađuje stalni sudski vještak za procjenu nekretnina odnosno drugi ovlašteni procjenitelj prema posebnom propisu. Obveza, iznos i rok nadoknade uređuju se ugovorom.</w:t>
      </w:r>
    </w:p>
    <w:p w14:paraId="116CF31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Kupac snosi i troškove sklapanja i provedbe ugovora, uključujući javnobilježničke troškove i troškove upisa u zemljišne knjige. Troškovi ne podliježu umanjenju prema ovoj Odluci.</w:t>
      </w:r>
    </w:p>
    <w:p w14:paraId="1989398E"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Podnositelj samim podnošenjem zahtjeva ne preuzima obvezu naknade troškova Grada. Ako ne dođe do sklapanja ugovora, troškovi pripreme ostaju na teret Grada, osim drukčije unaprijed preuzete i zakonom dopuštene obveze.</w:t>
      </w:r>
    </w:p>
    <w:p w14:paraId="4071C44B"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22.</w:t>
      </w:r>
    </w:p>
    <w:p w14:paraId="67844490"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Sadržaj ugovora i osiguranje</w:t>
      </w:r>
    </w:p>
    <w:p w14:paraId="584747EA"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Ugovor sadržava predmet stjecanja, cijenu prije popusta, stopu i točan novčani iznos potpore, cijenu koju kupac plaća, troškove, rokove, dopuštenu namjenu, obveze gradnje i stanovanja, razloge i način povrata potpore te instrument osiguranja.</w:t>
      </w:r>
    </w:p>
    <w:p w14:paraId="419EC2A9" w14:textId="7AAE2002"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Plaćanje cijene i troškova provodi se u roku i na način određen natječajem odnosno u skladu s općim aktom o gospodarenju nekretninama. Ovom se Odlukom ne osniva posebno pravo na obročnu otplatu.</w:t>
      </w:r>
    </w:p>
    <w:p w14:paraId="029EA165"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(3) Radi osiguranja povrata potpore korisnik prije izdavanja </w:t>
      </w:r>
      <w:proofErr w:type="spellStart"/>
      <w:r w:rsidRPr="004828DE">
        <w:rPr>
          <w:rFonts w:ascii="Times New Roman" w:hAnsi="Times New Roman" w:cs="Times New Roman"/>
          <w:sz w:val="24"/>
          <w:szCs w:val="24"/>
          <w:lang w:val="hr-HR"/>
        </w:rPr>
        <w:t>tabularne</w:t>
      </w:r>
      <w:proofErr w:type="spellEnd"/>
      <w:r w:rsidRPr="004828DE">
        <w:rPr>
          <w:rFonts w:ascii="Times New Roman" w:hAnsi="Times New Roman" w:cs="Times New Roman"/>
          <w:sz w:val="24"/>
          <w:szCs w:val="24"/>
          <w:lang w:val="hr-HR"/>
        </w:rPr>
        <w:t xml:space="preserve"> isprave predaje zadužnicu odnosno drugi jednakovrijedan instrument osiguranja prihvatljiv Gradu, na iznos potpore uvećan za pripadajuće zakonske zatezne kamate i troškove u granicama dopuštenim propisima.</w:t>
      </w:r>
    </w:p>
    <w:p w14:paraId="1AA2448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(4) </w:t>
      </w:r>
      <w:proofErr w:type="spellStart"/>
      <w:r w:rsidRPr="004828DE">
        <w:rPr>
          <w:rFonts w:ascii="Times New Roman" w:hAnsi="Times New Roman" w:cs="Times New Roman"/>
          <w:sz w:val="24"/>
          <w:szCs w:val="24"/>
          <w:lang w:val="hr-HR"/>
        </w:rPr>
        <w:t>Tabularna</w:t>
      </w:r>
      <w:proofErr w:type="spellEnd"/>
      <w:r w:rsidRPr="004828DE">
        <w:rPr>
          <w:rFonts w:ascii="Times New Roman" w:hAnsi="Times New Roman" w:cs="Times New Roman"/>
          <w:sz w:val="24"/>
          <w:szCs w:val="24"/>
          <w:lang w:val="hr-HR"/>
        </w:rPr>
        <w:t xml:space="preserve"> isprava izdaje se nakon plaćanja ugovorene cijene i dospjelih troškova te predaje ugovorenog instrumenta osiguranja. Njezino izdavanje ne odgađa se do isteka desetogodišnjeg razdoblja stanovanja.</w:t>
      </w:r>
    </w:p>
    <w:p w14:paraId="5E2CE383"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Instrument osiguranja vraća se odnosno oslobađa nakon urednog izvršenja osiguranih obveza.</w:t>
      </w:r>
    </w:p>
    <w:p w14:paraId="7B2106F5"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23.</w:t>
      </w:r>
    </w:p>
    <w:p w14:paraId="3D14D433"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Prebivalište i trajno stanovanje</w:t>
      </w:r>
    </w:p>
    <w:p w14:paraId="631D714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(1) Korisnik potpore za kupnju zemljišta radi izgradnje nove </w:t>
      </w:r>
      <w:proofErr w:type="spellStart"/>
      <w:r w:rsidRPr="004828DE">
        <w:rPr>
          <w:rFonts w:ascii="Times New Roman" w:hAnsi="Times New Roman" w:cs="Times New Roman"/>
          <w:sz w:val="24"/>
          <w:szCs w:val="24"/>
          <w:lang w:val="hr-HR"/>
        </w:rPr>
        <w:t>jednoobiteljske</w:t>
      </w:r>
      <w:proofErr w:type="spellEnd"/>
      <w:r w:rsidRPr="004828DE">
        <w:rPr>
          <w:rFonts w:ascii="Times New Roman" w:hAnsi="Times New Roman" w:cs="Times New Roman"/>
          <w:sz w:val="24"/>
          <w:szCs w:val="24"/>
          <w:lang w:val="hr-HR"/>
        </w:rPr>
        <w:t xml:space="preserve"> kuće mora prijaviti prebivalište i započeti stvarno stanovanje u izgrađenoj kući najkasnije u roku od šest mjeseci od ishođenja uporabne dozvole odnosno drugog odgovarajućeg akta za uporabu te u njoj zadržati prebivalište i stvarno stanovati najmanje deset godina od dana ispunjenja obiju obveza.</w:t>
      </w:r>
    </w:p>
    <w:p w14:paraId="7B8FBF4E"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(2) Na korisnika potpore za razvrgnuće suvlasništva radi buduće izgradnje </w:t>
      </w:r>
      <w:proofErr w:type="spellStart"/>
      <w:r w:rsidRPr="004828DE">
        <w:rPr>
          <w:rFonts w:ascii="Times New Roman" w:hAnsi="Times New Roman" w:cs="Times New Roman"/>
          <w:sz w:val="24"/>
          <w:szCs w:val="24"/>
          <w:lang w:val="hr-HR"/>
        </w:rPr>
        <w:t>jednoobiteljske</w:t>
      </w:r>
      <w:proofErr w:type="spellEnd"/>
      <w:r w:rsidRPr="004828DE">
        <w:rPr>
          <w:rFonts w:ascii="Times New Roman" w:hAnsi="Times New Roman" w:cs="Times New Roman"/>
          <w:sz w:val="24"/>
          <w:szCs w:val="24"/>
          <w:lang w:val="hr-HR"/>
        </w:rPr>
        <w:t xml:space="preserve"> kuće primjenjuje se rok od pet godina za izgradnju kuće i ishođenje uporabne dozvole odnosno drugog odgovarajućeg akta za uporabu, uz pravila o početku tijeka i mogućnosti produljenja roka iz članka 12. ove Odluke. Nakon ishođenja odgovarajućeg akta za uporabu korisnik je dužan ispuniti obveze prijave prebivališta i stvarnog stanovanja u roku i trajanju iz stavka 1. ovoga članka.</w:t>
      </w:r>
    </w:p>
    <w:p w14:paraId="54AAFF9B"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(3) Korisnik potpore za dokup ili razvrgnuće suvlasništva uz postojeću zakonitu </w:t>
      </w:r>
      <w:proofErr w:type="spellStart"/>
      <w:r w:rsidRPr="004828DE">
        <w:rPr>
          <w:rFonts w:ascii="Times New Roman" w:hAnsi="Times New Roman" w:cs="Times New Roman"/>
          <w:sz w:val="24"/>
          <w:szCs w:val="24"/>
          <w:lang w:val="hr-HR"/>
        </w:rPr>
        <w:t>jednoobiteljsku</w:t>
      </w:r>
      <w:proofErr w:type="spellEnd"/>
      <w:r w:rsidRPr="004828DE">
        <w:rPr>
          <w:rFonts w:ascii="Times New Roman" w:hAnsi="Times New Roman" w:cs="Times New Roman"/>
          <w:sz w:val="24"/>
          <w:szCs w:val="24"/>
          <w:lang w:val="hr-HR"/>
        </w:rPr>
        <w:t xml:space="preserve"> kuću namijenjenu njegovu trajnom stanovanju mora najkasnije u roku od šest mjeseci od sklapanja ugovora imati prijavljeno prebivalište na adresi predmetne kuće i stvarno stanovati u njoj. Ta obveza vrijedi i za korisnika koji već ima prebivalište na području Grada Ploča, ali na drugoj adresi. Korisnik koji već ima prijavljeno prebivalište i stvarno stanuje u predmetnoj kući nastavlja ispunjavati te obveze.</w:t>
      </w:r>
    </w:p>
    <w:p w14:paraId="3F1CC94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lastRenderedPageBreak/>
        <w:t>(4) Korisnik iz stavka 3. ovoga članka zadržava prebivalište i stvarno stanovanje u predmetnoj kući do isteka deset godina od sklapanja ugovora.</w:t>
      </w:r>
    </w:p>
    <w:p w14:paraId="4E629F2E"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Stvarni članovi kućanstva na temelju čijeg je broja ostvarena prednost uključuju se u zajedničko stanovanje u roku koji vrijedi za korisnika, uz uvažavanje školovanja, liječenja, rada i drugih opravdanih privremenih odsutnosti te promjena iz članka 25.</w:t>
      </w:r>
    </w:p>
    <w:p w14:paraId="4533E3D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(6) Propuštanje obveze prijave prebivališta ne čini ugovor automatski ništetnim, nego predstavlja razlog za povrat potpore i druge ugovorene posljedice u skladu s ovom Odlukom i zakonom.</w:t>
      </w:r>
    </w:p>
    <w:p w14:paraId="38818140"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24.</w:t>
      </w:r>
    </w:p>
    <w:p w14:paraId="5B485069"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Povrat potpore</w:t>
      </w:r>
    </w:p>
    <w:p w14:paraId="0041B606"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Korisnik je dužan Gradu Pločama vratiti iznos odobrenog umanjenja cijene ako je pravo ostvario na temelju neistinitih podataka važnih za odabir ili potporu, ne izgradi kuću u ugovorenom roku, ne ispuni obvezu prebivališta i stanovanja ili zemljište odnosno kuću koristi protivno ugovorenoj namjeni.</w:t>
      </w:r>
    </w:p>
    <w:p w14:paraId="73F0AA8A"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Povrat je obvezan i ako korisnik u razdoblju od sklapanja ugovora do isteka desetogodišnje obveze stanovanja iz članka 23. proda ili daruje zemljište za koje je ostvario potporu, samostalno ili zajedno s kućom, odnosno drugim pravnim poslom prenese vlasništvo na treću osobu, osim u dopuštenim slučajevima iz članka 25.</w:t>
      </w:r>
    </w:p>
    <w:p w14:paraId="72CB7055"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Vraća se nominalni iznos potpore iskazan u ugovoru, bez naknadnog povećanja zbog rasta tržišne vrijednosti zemljišta. Zakonske zatezne kamate obračunavaju se od dospijeća obveze povrata, osim kada prisilni propis određuje drukčije.</w:t>
      </w:r>
    </w:p>
    <w:p w14:paraId="01A17361"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Prije zahtjeva za povrat Grad korisniku omogućuje očitovanje u roku od 15 dana. Ako je povredu moguće otkloniti, može se odrediti primjeren dodatni rok, najviše 60 dana, osim kada je zbog naravi povrede ili proteka ugovorenog roka to neopravdano.</w:t>
      </w:r>
    </w:p>
    <w:p w14:paraId="29D4058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Povrat dospijeva u roku od 30 dana od dostave pisanog zahtjeva Grada s obrazloženjem i obračunom. Ako obveza ne bude podmirena, Grad koristi ugovoreni instrument osiguranja i druga zakonom dopuštena sredstva naplate.</w:t>
      </w:r>
    </w:p>
    <w:p w14:paraId="45E4520D"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25.</w:t>
      </w:r>
    </w:p>
    <w:p w14:paraId="632C8B6F"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Opravdane životne okolnosti</w:t>
      </w:r>
    </w:p>
    <w:p w14:paraId="3EEE073A"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Smrt korisnika i nasljeđivanje sami po sebi nisu razlog za povrat potpore. Nasljednici preuzimaju preostale obveze u mjeri u kojoj ih prema naravi odnosa i zakonu mogu izvršavati.</w:t>
      </w:r>
    </w:p>
    <w:p w14:paraId="4C98171C"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Prijenos vlasništva na člana istoga kućanstva može se dopustiti bez povrata ako stjecatelj preuzme sve preostale obveze, nastavi ugovoreno stanovanje i osigura njihovo izvršenje.</w:t>
      </w:r>
    </w:p>
    <w:p w14:paraId="01BB5B40"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Na obrazložen zahtjev mogu se primjereno prilagoditi obveze ili odobriti iznimka od povrata zbog teške bolesti, invaliditeta, razvoda ili prestanka životne zajednice, zaštite od nasilja u obitelji, potrebe za većim stambenim prostorom zbog povećanja obitelji, preseljenja radi zaposlenja ili druge usporedive osobito opravdane okolnosti.</w:t>
      </w:r>
    </w:p>
    <w:p w14:paraId="0BA8641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(4) O zahtjevu odlučuje nadležno tijelo uz dokumentiranje okolnosti i zaštite javnog interesa te samo u granicama zakonom dopuštenih iznimaka. Ova Odluka ne može isključiti povrat koji je obvezan prema zakonu.</w:t>
      </w:r>
    </w:p>
    <w:p w14:paraId="5613B466"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(5) Odobrena prilagodba uređuje se dodatkom ugovoru. Redovne promjene kućanstva ne dovode do retroaktivnog ponovnog rangiranja valjanih ponuda.</w:t>
      </w:r>
    </w:p>
    <w:p w14:paraId="4CFC7DD1" w14:textId="77777777"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lastRenderedPageBreak/>
        <w:t>Članak 26.</w:t>
      </w:r>
    </w:p>
    <w:p w14:paraId="0D73A481"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Praćenje izvršavanja i osobni podaci</w:t>
      </w:r>
    </w:p>
    <w:p w14:paraId="287A99B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Nadležno upravno tijelo prati izvršenje ugovora prema rokovima iz evidencije, korištenjem dostupnih službenih podataka i provjerom kada postoji konkretna potreba. Ne propisuje se obveza redovnog godišnjeg dostavljanja istih potvrda.</w:t>
      </w:r>
    </w:p>
    <w:p w14:paraId="0267EBC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Korisnik dostavlja dokaz o dovršetku gradnje, ispunjenju početne obveze prebivališta i stanovanja te, na obrazložen zahtjev Grada, podatke potrebne za provjeru konkretne ugovorne obveze.</w:t>
      </w:r>
    </w:p>
    <w:p w14:paraId="67CE0E02"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Osobni podaci obrađuju se samo u opsegu i roku potrebnom za provedbu ove Odluke i ugovora te prema propisima o zaštiti osobnih podataka. Pri javnoj objavi rezultata ne objavljuju se OIB-i, podaci o zdravlju ni drugi podaci koji nisu potrebni za transparentnost postupka.</w:t>
      </w:r>
    </w:p>
    <w:p w14:paraId="66FC4A34" w14:textId="77777777" w:rsidR="00604580" w:rsidRPr="004828DE" w:rsidRDefault="004F79E2" w:rsidP="004828DE">
      <w:pPr>
        <w:pStyle w:val="Naslov1"/>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VII PRIJELAZNE I ZAVRŠNE ODREDBE</w:t>
      </w:r>
    </w:p>
    <w:p w14:paraId="08FB3B34" w14:textId="0F6A438D" w:rsidR="00604580" w:rsidRPr="004828DE" w:rsidRDefault="004F79E2" w:rsidP="004828DE">
      <w:pPr>
        <w:pStyle w:val="Naslov2"/>
        <w:spacing w:after="40" w:line="240" w:lineRule="auto"/>
        <w:jc w:val="center"/>
        <w:rPr>
          <w:rFonts w:ascii="Times New Roman" w:hAnsi="Times New Roman" w:cs="Times New Roman"/>
          <w:b w:val="0"/>
          <w:bCs w:val="0"/>
          <w:sz w:val="24"/>
          <w:szCs w:val="24"/>
          <w:lang w:val="hr-HR"/>
        </w:rPr>
      </w:pPr>
      <w:r w:rsidRPr="004828DE">
        <w:rPr>
          <w:rFonts w:ascii="Times New Roman" w:hAnsi="Times New Roman" w:cs="Times New Roman"/>
          <w:b w:val="0"/>
          <w:bCs w:val="0"/>
          <w:sz w:val="24"/>
          <w:szCs w:val="24"/>
          <w:lang w:val="hr-HR"/>
        </w:rPr>
        <w:t>Članak 2</w:t>
      </w:r>
      <w:r w:rsidR="005C79B0" w:rsidRPr="004828DE">
        <w:rPr>
          <w:rFonts w:ascii="Times New Roman" w:hAnsi="Times New Roman" w:cs="Times New Roman"/>
          <w:b w:val="0"/>
          <w:bCs w:val="0"/>
          <w:sz w:val="24"/>
          <w:szCs w:val="24"/>
          <w:lang w:val="hr-HR"/>
        </w:rPr>
        <w:t>7</w:t>
      </w:r>
      <w:r w:rsidRPr="004828DE">
        <w:rPr>
          <w:rFonts w:ascii="Times New Roman" w:hAnsi="Times New Roman" w:cs="Times New Roman"/>
          <w:b w:val="0"/>
          <w:bCs w:val="0"/>
          <w:sz w:val="24"/>
          <w:szCs w:val="24"/>
          <w:lang w:val="hr-HR"/>
        </w:rPr>
        <w:t>.</w:t>
      </w:r>
    </w:p>
    <w:p w14:paraId="291AF277" w14:textId="77777777" w:rsidR="00604580" w:rsidRPr="004828DE" w:rsidRDefault="004F79E2" w:rsidP="004828DE">
      <w:pPr>
        <w:keepNext/>
        <w:spacing w:after="100" w:line="240" w:lineRule="auto"/>
        <w:jc w:val="center"/>
        <w:rPr>
          <w:rFonts w:ascii="Times New Roman" w:hAnsi="Times New Roman" w:cs="Times New Roman"/>
          <w:sz w:val="24"/>
          <w:szCs w:val="24"/>
          <w:lang w:val="hr-HR"/>
        </w:rPr>
      </w:pPr>
      <w:r w:rsidRPr="004828DE">
        <w:rPr>
          <w:rFonts w:ascii="Times New Roman" w:hAnsi="Times New Roman" w:cs="Times New Roman"/>
          <w:sz w:val="24"/>
          <w:szCs w:val="24"/>
          <w:lang w:val="hr-HR"/>
        </w:rPr>
        <w:t>Započeti postupci i stupanje na snagu</w:t>
      </w:r>
    </w:p>
    <w:p w14:paraId="09D47808"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(1) Postupci u kojima je javni natječaj objavljen prije stupanja na snagu ove Odluke dovršavaju se prema ranije objavljenim uvjetima. Prije zaprimljeni zahtjevi u kojima natječaj još nije objavljen mogu se razmatrati prema ovoj Odluci ako podnositelj prihvati njezine uvjete.</w:t>
      </w:r>
    </w:p>
    <w:p w14:paraId="370D723F"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(2) Ova Odluka ne daje pravo na naknadni popust za ranije sklopljene ugovore.</w:t>
      </w:r>
    </w:p>
    <w:p w14:paraId="19E49C3A"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(3) Ova Odluka stupa na snagu osmoga dana od dana objave u Službenom glasniku Grada Ploča.</w:t>
      </w:r>
    </w:p>
    <w:p w14:paraId="2A6345A0" w14:textId="77777777" w:rsidR="0098111E" w:rsidRPr="004828DE" w:rsidRDefault="0098111E" w:rsidP="004828DE">
      <w:pPr>
        <w:spacing w:line="240" w:lineRule="auto"/>
        <w:rPr>
          <w:rFonts w:ascii="Times New Roman" w:hAnsi="Times New Roman" w:cs="Times New Roman"/>
          <w:sz w:val="24"/>
          <w:szCs w:val="24"/>
          <w:lang w:val="hr-HR"/>
        </w:rPr>
      </w:pPr>
    </w:p>
    <w:p w14:paraId="6C4C233C" w14:textId="77777777" w:rsidR="00EF24F6" w:rsidRPr="004828DE" w:rsidRDefault="00EF24F6" w:rsidP="004828DE">
      <w:pPr>
        <w:spacing w:after="0"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KLASA: </w:t>
      </w:r>
    </w:p>
    <w:p w14:paraId="3FF0B2C0" w14:textId="77777777" w:rsidR="00EF24F6" w:rsidRPr="004828DE" w:rsidRDefault="00EF24F6" w:rsidP="004828DE">
      <w:pPr>
        <w:spacing w:after="0"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URBROJ:</w:t>
      </w:r>
    </w:p>
    <w:p w14:paraId="100656A1" w14:textId="511428E7" w:rsidR="00EF24F6" w:rsidRPr="004828DE" w:rsidRDefault="00EF24F6" w:rsidP="004828DE">
      <w:pPr>
        <w:spacing w:after="0"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Ploče, __________ 2026. godine</w:t>
      </w:r>
    </w:p>
    <w:p w14:paraId="5E362106" w14:textId="77777777" w:rsidR="00EF24F6" w:rsidRPr="004828DE" w:rsidRDefault="00EF24F6" w:rsidP="004828DE">
      <w:pPr>
        <w:spacing w:after="0" w:line="240" w:lineRule="auto"/>
        <w:rPr>
          <w:rFonts w:ascii="Times New Roman" w:hAnsi="Times New Roman" w:cs="Times New Roman"/>
          <w:sz w:val="24"/>
          <w:szCs w:val="24"/>
          <w:lang w:val="hr-HR"/>
        </w:rPr>
      </w:pPr>
    </w:p>
    <w:p w14:paraId="5D9DC868" w14:textId="77777777" w:rsidR="00EF24F6" w:rsidRPr="004828DE" w:rsidRDefault="00EF24F6" w:rsidP="004828DE">
      <w:pPr>
        <w:spacing w:after="0" w:line="240" w:lineRule="auto"/>
        <w:rPr>
          <w:rFonts w:ascii="Times New Roman" w:hAnsi="Times New Roman" w:cs="Times New Roman"/>
          <w:sz w:val="24"/>
          <w:szCs w:val="24"/>
          <w:lang w:val="hr-HR"/>
        </w:rPr>
      </w:pPr>
    </w:p>
    <w:p w14:paraId="091E26D6" w14:textId="77777777" w:rsidR="00EF24F6" w:rsidRPr="004828DE" w:rsidRDefault="00EF24F6" w:rsidP="004828DE">
      <w:pPr>
        <w:widowControl w:val="0"/>
        <w:spacing w:after="0" w:line="240" w:lineRule="auto"/>
        <w:jc w:val="center"/>
        <w:rPr>
          <w:rFonts w:ascii="Times New Roman" w:eastAsia="Andale Sans UI" w:hAnsi="Times New Roman" w:cs="Times New Roman"/>
          <w:bCs/>
          <w:sz w:val="24"/>
          <w:szCs w:val="24"/>
          <w:lang w:val="hr-HR"/>
        </w:rPr>
      </w:pPr>
      <w:r w:rsidRPr="004828DE">
        <w:rPr>
          <w:rFonts w:ascii="Times New Roman" w:eastAsia="Andale Sans UI" w:hAnsi="Times New Roman" w:cs="Times New Roman"/>
          <w:bCs/>
          <w:sz w:val="24"/>
          <w:szCs w:val="24"/>
          <w:lang w:val="hr-HR"/>
        </w:rPr>
        <w:t>DUBROVAČKO-NERETVANSKA ŽUPANIJA</w:t>
      </w:r>
    </w:p>
    <w:p w14:paraId="64C4862E" w14:textId="77777777" w:rsidR="00EF24F6" w:rsidRPr="004828DE" w:rsidRDefault="00EF24F6" w:rsidP="004828DE">
      <w:pPr>
        <w:widowControl w:val="0"/>
        <w:spacing w:after="0" w:line="240" w:lineRule="auto"/>
        <w:jc w:val="center"/>
        <w:rPr>
          <w:rFonts w:ascii="Times New Roman" w:eastAsia="Andale Sans UI" w:hAnsi="Times New Roman" w:cs="Times New Roman"/>
          <w:bCs/>
          <w:sz w:val="24"/>
          <w:szCs w:val="24"/>
          <w:lang w:val="hr-HR"/>
        </w:rPr>
      </w:pPr>
      <w:r w:rsidRPr="004828DE">
        <w:rPr>
          <w:rFonts w:ascii="Times New Roman" w:eastAsia="Andale Sans UI" w:hAnsi="Times New Roman" w:cs="Times New Roman"/>
          <w:bCs/>
          <w:sz w:val="24"/>
          <w:szCs w:val="24"/>
          <w:lang w:val="hr-HR"/>
        </w:rPr>
        <w:t>GRAD PLOČE</w:t>
      </w:r>
    </w:p>
    <w:p w14:paraId="625C7384" w14:textId="77777777" w:rsidR="00EF24F6" w:rsidRPr="004828DE" w:rsidRDefault="00EF24F6" w:rsidP="004828DE">
      <w:pPr>
        <w:widowControl w:val="0"/>
        <w:spacing w:after="0" w:line="240" w:lineRule="auto"/>
        <w:jc w:val="center"/>
        <w:rPr>
          <w:rFonts w:ascii="Times New Roman" w:eastAsia="Andale Sans UI" w:hAnsi="Times New Roman" w:cs="Times New Roman"/>
          <w:bCs/>
          <w:sz w:val="24"/>
          <w:szCs w:val="24"/>
          <w:lang w:val="hr-HR"/>
        </w:rPr>
      </w:pPr>
      <w:r w:rsidRPr="004828DE">
        <w:rPr>
          <w:rFonts w:ascii="Times New Roman" w:eastAsia="Andale Sans UI" w:hAnsi="Times New Roman" w:cs="Times New Roman"/>
          <w:bCs/>
          <w:sz w:val="24"/>
          <w:szCs w:val="24"/>
          <w:lang w:val="hr-HR"/>
        </w:rPr>
        <w:t>Gradsko vijeće</w:t>
      </w:r>
    </w:p>
    <w:p w14:paraId="0FC882DF" w14:textId="77777777" w:rsidR="00EF24F6" w:rsidRPr="004828DE" w:rsidRDefault="00EF24F6" w:rsidP="004828DE">
      <w:pPr>
        <w:widowControl w:val="0"/>
        <w:spacing w:after="0" w:line="240" w:lineRule="auto"/>
        <w:rPr>
          <w:rFonts w:ascii="Times New Roman" w:eastAsia="Andale Sans UI" w:hAnsi="Times New Roman" w:cs="Times New Roman"/>
          <w:sz w:val="24"/>
          <w:szCs w:val="24"/>
          <w:lang w:val="hr-HR"/>
        </w:rPr>
      </w:pPr>
    </w:p>
    <w:p w14:paraId="1A51586A" w14:textId="77777777" w:rsidR="00EF24F6" w:rsidRPr="004828DE" w:rsidRDefault="00EF24F6" w:rsidP="004828DE">
      <w:pPr>
        <w:widowControl w:val="0"/>
        <w:spacing w:after="0" w:line="240" w:lineRule="auto"/>
        <w:ind w:left="7080"/>
        <w:rPr>
          <w:rFonts w:ascii="Times New Roman" w:eastAsia="Andale Sans UI" w:hAnsi="Times New Roman" w:cs="Times New Roman"/>
          <w:sz w:val="24"/>
          <w:szCs w:val="24"/>
          <w:lang w:val="hr-HR"/>
        </w:rPr>
      </w:pPr>
      <w:r w:rsidRPr="004828DE">
        <w:rPr>
          <w:rFonts w:ascii="Times New Roman" w:eastAsia="Andale Sans UI" w:hAnsi="Times New Roman" w:cs="Times New Roman"/>
          <w:sz w:val="24"/>
          <w:szCs w:val="24"/>
          <w:lang w:val="hr-HR"/>
        </w:rPr>
        <w:t>Predsjednik</w:t>
      </w:r>
    </w:p>
    <w:p w14:paraId="3DB9A536" w14:textId="77777777" w:rsidR="00EF24F6" w:rsidRPr="004828DE" w:rsidRDefault="00EF24F6" w:rsidP="004828DE">
      <w:pPr>
        <w:widowControl w:val="0"/>
        <w:spacing w:after="0" w:line="240" w:lineRule="auto"/>
        <w:ind w:left="5664" w:firstLine="708"/>
        <w:rPr>
          <w:rFonts w:ascii="Times New Roman" w:eastAsia="Andale Sans UI" w:hAnsi="Times New Roman" w:cs="Times New Roman"/>
          <w:sz w:val="24"/>
          <w:szCs w:val="24"/>
          <w:lang w:val="hr-HR"/>
        </w:rPr>
      </w:pPr>
      <w:r w:rsidRPr="004828DE">
        <w:rPr>
          <w:rFonts w:ascii="Times New Roman" w:eastAsia="Andale Sans UI" w:hAnsi="Times New Roman" w:cs="Times New Roman"/>
          <w:sz w:val="24"/>
          <w:szCs w:val="24"/>
          <w:lang w:val="hr-HR"/>
        </w:rPr>
        <w:t xml:space="preserve">      Danko Majstrović</w:t>
      </w:r>
    </w:p>
    <w:p w14:paraId="3D410754" w14:textId="77777777" w:rsidR="00604580" w:rsidRPr="004828DE" w:rsidRDefault="004F79E2" w:rsidP="004828DE">
      <w:pPr>
        <w:spacing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br w:type="page"/>
      </w:r>
    </w:p>
    <w:p w14:paraId="78DA7815" w14:textId="04F67C36" w:rsidR="004F5BFE" w:rsidRPr="004828DE" w:rsidRDefault="004F5BFE" w:rsidP="004828DE">
      <w:pPr>
        <w:spacing w:after="60" w:line="240" w:lineRule="auto"/>
        <w:rPr>
          <w:rFonts w:ascii="Times New Roman" w:hAnsi="Times New Roman" w:cs="Times New Roman"/>
          <w:sz w:val="24"/>
          <w:szCs w:val="24"/>
          <w:lang w:val="hr-HR"/>
        </w:rPr>
      </w:pPr>
      <w:r w:rsidRPr="004828DE">
        <w:rPr>
          <w:rFonts w:ascii="Times New Roman" w:hAnsi="Times New Roman" w:cs="Times New Roman"/>
          <w:b/>
          <w:bCs/>
          <w:sz w:val="24"/>
          <w:szCs w:val="24"/>
          <w:lang w:val="hr-HR"/>
        </w:rPr>
        <w:lastRenderedPageBreak/>
        <w:t>OBRAZLOŽENJE I PRAVNA OSNOVA ZA DONOŠENJE AKTA</w:t>
      </w:r>
    </w:p>
    <w:p w14:paraId="0A88F310" w14:textId="77777777" w:rsidR="004F5BFE" w:rsidRPr="004828DE" w:rsidRDefault="004F5BFE" w:rsidP="004828DE">
      <w:pPr>
        <w:spacing w:after="60" w:line="240" w:lineRule="auto"/>
        <w:rPr>
          <w:rFonts w:ascii="Times New Roman" w:hAnsi="Times New Roman" w:cs="Times New Roman"/>
          <w:sz w:val="24"/>
          <w:szCs w:val="24"/>
          <w:lang w:val="hr-HR"/>
        </w:rPr>
      </w:pPr>
    </w:p>
    <w:p w14:paraId="0D42E2F5" w14:textId="77777777" w:rsidR="00604580" w:rsidRPr="004828DE" w:rsidRDefault="004F79E2" w:rsidP="004828DE">
      <w:pPr>
        <w:keepNext/>
        <w:spacing w:after="60" w:line="240" w:lineRule="auto"/>
        <w:rPr>
          <w:rFonts w:ascii="Times New Roman" w:hAnsi="Times New Roman" w:cs="Times New Roman"/>
          <w:sz w:val="24"/>
          <w:szCs w:val="24"/>
          <w:lang w:val="hr-HR"/>
        </w:rPr>
      </w:pPr>
      <w:r w:rsidRPr="004828DE">
        <w:rPr>
          <w:rFonts w:ascii="Times New Roman" w:hAnsi="Times New Roman" w:cs="Times New Roman"/>
          <w:b/>
          <w:sz w:val="24"/>
          <w:szCs w:val="24"/>
          <w:lang w:val="hr-HR"/>
        </w:rPr>
        <w:t>Razlozi donošenja i način provedbe</w:t>
      </w:r>
    </w:p>
    <w:p w14:paraId="5A0991AB" w14:textId="653E59D5" w:rsidR="00604580" w:rsidRPr="004828DE" w:rsidRDefault="004F79E2" w:rsidP="004828DE">
      <w:pPr>
        <w:spacing w:after="60"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Pojedine nekretnine </w:t>
      </w:r>
      <w:r w:rsidR="009A401C" w:rsidRPr="004828DE">
        <w:rPr>
          <w:rFonts w:ascii="Times New Roman" w:hAnsi="Times New Roman" w:cs="Times New Roman"/>
          <w:sz w:val="24"/>
          <w:szCs w:val="24"/>
          <w:lang w:val="hr-HR"/>
        </w:rPr>
        <w:t xml:space="preserve">koje će biti predmet natječaja određuju se </w:t>
      </w:r>
      <w:r w:rsidRPr="004828DE">
        <w:rPr>
          <w:rFonts w:ascii="Times New Roman" w:hAnsi="Times New Roman" w:cs="Times New Roman"/>
          <w:sz w:val="24"/>
          <w:szCs w:val="24"/>
          <w:lang w:val="hr-HR"/>
        </w:rPr>
        <w:t>nakon provjere namjene, vlasništva, pristupa i mogućnosti gradnje. Natječaji se mogu pokretati na zahtjev građana ili na inicijativu Grada, pojedinačno ili za više čestica. Za građane je važna predvidljivost uvjeta, a za Grad mogućnost postupnog uključivanja raspoloživog zemljišta bez obveze istodobne pripreme svih lokacija.</w:t>
      </w:r>
    </w:p>
    <w:p w14:paraId="3C263497" w14:textId="75632FBB" w:rsidR="00604580" w:rsidRPr="004828DE" w:rsidRDefault="004F79E2" w:rsidP="004828DE">
      <w:pPr>
        <w:keepNext/>
        <w:spacing w:after="60" w:line="240" w:lineRule="auto"/>
        <w:rPr>
          <w:rFonts w:ascii="Times New Roman" w:hAnsi="Times New Roman" w:cs="Times New Roman"/>
          <w:sz w:val="24"/>
          <w:szCs w:val="24"/>
          <w:lang w:val="hr-HR"/>
        </w:rPr>
      </w:pPr>
      <w:r w:rsidRPr="004828DE">
        <w:rPr>
          <w:rFonts w:ascii="Times New Roman" w:hAnsi="Times New Roman" w:cs="Times New Roman"/>
          <w:b/>
          <w:sz w:val="24"/>
          <w:szCs w:val="24"/>
          <w:lang w:val="hr-HR"/>
        </w:rPr>
        <w:t>Umanjenja od 60 % i 40 %</w:t>
      </w:r>
      <w:r w:rsidR="00CB05DD" w:rsidRPr="004828DE">
        <w:rPr>
          <w:rFonts w:ascii="Times New Roman" w:hAnsi="Times New Roman" w:cs="Times New Roman"/>
          <w:b/>
          <w:sz w:val="24"/>
          <w:szCs w:val="24"/>
          <w:lang w:val="hr-HR"/>
        </w:rPr>
        <w:t xml:space="preserve"> i financijski učinak</w:t>
      </w:r>
    </w:p>
    <w:p w14:paraId="20BC497E" w14:textId="6FEAB5DD" w:rsidR="00604580" w:rsidRPr="004828DE" w:rsidRDefault="004F79E2" w:rsidP="004828DE">
      <w:pPr>
        <w:spacing w:after="60"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Veće umanjenje za osobe koje nisu navršile 45 godina usmjereno je na razdoblje osamostaljivanja, zasnivanja kućanstva i stvaranja uvjeta za dugoročni ostanak. Granica od 45 godina povezana je s dobnim usmjerenjem dijela državnih stambenih potpora, ali nije zakonski propisana kao obvezna granica ove gradske mjere. </w:t>
      </w:r>
    </w:p>
    <w:p w14:paraId="725C28EF" w14:textId="42EE7969" w:rsidR="00604580" w:rsidRPr="004828DE" w:rsidRDefault="004F79E2" w:rsidP="004828DE">
      <w:pPr>
        <w:spacing w:after="60"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Umanjenjem od 40 % i za starije korisnike izbjegava se potpuni gubitak potpore zbog prelaska dobne granice. Stariji građani mogu imati neriješeno stambeno pitanje, djecu ili druge ozbiljne stambene potrebe. Razlika od 20 postotnih bodova daje prednost osamostaljivanju mlađih uz zadržavanje značajne potpore drugim zakonski prihvatljivim korisnicima. Financijski učinak, primjer: Ako nekretnina koja bude predmet natječaja postigne cijenu od 18.000,00 eura, a najpovoljniji ponuditelj bude osoba koja nije navršila 45 godina i ostvari pravo kupnje po povlaštenoj (umanjenoj) cijeni, ukupan iznos koji će trebati uplatiti u gradski proračun na ime kupnje nekretnine će iznositi 7.200,00 eura.</w:t>
      </w:r>
    </w:p>
    <w:p w14:paraId="549B4193" w14:textId="77777777" w:rsidR="00604580" w:rsidRPr="004828DE" w:rsidRDefault="004F79E2" w:rsidP="004828DE">
      <w:pPr>
        <w:keepNext/>
        <w:spacing w:after="60" w:line="240" w:lineRule="auto"/>
        <w:rPr>
          <w:rFonts w:ascii="Times New Roman" w:hAnsi="Times New Roman" w:cs="Times New Roman"/>
          <w:sz w:val="24"/>
          <w:szCs w:val="24"/>
          <w:lang w:val="hr-HR"/>
        </w:rPr>
      </w:pPr>
      <w:r w:rsidRPr="004828DE">
        <w:rPr>
          <w:rFonts w:ascii="Times New Roman" w:hAnsi="Times New Roman" w:cs="Times New Roman"/>
          <w:b/>
          <w:sz w:val="24"/>
          <w:szCs w:val="24"/>
          <w:lang w:val="hr-HR"/>
        </w:rPr>
        <w:t>Prednost prema broju članova kućanstva i ograničenje cijene</w:t>
      </w:r>
    </w:p>
    <w:p w14:paraId="632F7BD8" w14:textId="62332E4B" w:rsidR="00604580" w:rsidRPr="004828DE" w:rsidRDefault="004F79E2" w:rsidP="004828DE">
      <w:pPr>
        <w:spacing w:after="60" w:line="240" w:lineRule="auto"/>
        <w:rPr>
          <w:rFonts w:ascii="Times New Roman" w:hAnsi="Times New Roman" w:cs="Times New Roman"/>
          <w:color w:val="EE0000"/>
          <w:sz w:val="24"/>
          <w:szCs w:val="24"/>
          <w:lang w:val="hr-HR"/>
        </w:rPr>
      </w:pPr>
      <w:r w:rsidRPr="004828DE">
        <w:rPr>
          <w:rFonts w:ascii="Times New Roman" w:hAnsi="Times New Roman" w:cs="Times New Roman"/>
          <w:sz w:val="24"/>
          <w:szCs w:val="24"/>
          <w:lang w:val="hr-HR"/>
        </w:rPr>
        <w:t xml:space="preserve">Prednost se utvrđuje uspoređivanjem broja članova kućanstva, bez bodovnih tablica, uz posebno pravilo da se samohrani roditelj računa kao dva člana. Time se uvažava okolnost da isti roditelj sam skrbi o djetetu i sam ga uzdržava. Samohrani roditelj s dvoje djece za potrebe početnog rangiranja računa se kao četiri člana, jednako kao kućanstvo s dva roditelja i dvoje djece. Pogodnost se ne primjenjuje automatski na svaku </w:t>
      </w:r>
      <w:proofErr w:type="spellStart"/>
      <w:r w:rsidRPr="004828DE">
        <w:rPr>
          <w:rFonts w:ascii="Times New Roman" w:hAnsi="Times New Roman" w:cs="Times New Roman"/>
          <w:sz w:val="24"/>
          <w:szCs w:val="24"/>
          <w:lang w:val="hr-HR"/>
        </w:rPr>
        <w:t>jednoroditeljsku</w:t>
      </w:r>
      <w:proofErr w:type="spellEnd"/>
      <w:r w:rsidRPr="004828DE">
        <w:rPr>
          <w:rFonts w:ascii="Times New Roman" w:hAnsi="Times New Roman" w:cs="Times New Roman"/>
          <w:sz w:val="24"/>
          <w:szCs w:val="24"/>
          <w:lang w:val="hr-HR"/>
        </w:rPr>
        <w:t xml:space="preserve"> obitelj, nego na roditelja koji ispunjava definiciju samohranog roditelja. Pri utvrđivanju zakonskih površinskih, prihodovnih i drugih uvjeta ostaje mjerodavan stvarni broj osoba.</w:t>
      </w:r>
    </w:p>
    <w:p w14:paraId="72B8BC1E" w14:textId="77777777" w:rsidR="00604580" w:rsidRPr="004828DE" w:rsidRDefault="004F79E2" w:rsidP="004828DE">
      <w:pPr>
        <w:spacing w:after="60" w:line="240" w:lineRule="auto"/>
        <w:rPr>
          <w:rFonts w:ascii="Times New Roman" w:hAnsi="Times New Roman" w:cs="Times New Roman"/>
          <w:color w:val="EE0000"/>
          <w:sz w:val="24"/>
          <w:szCs w:val="24"/>
          <w:lang w:val="hr-HR"/>
        </w:rPr>
      </w:pPr>
      <w:r w:rsidRPr="004828DE">
        <w:rPr>
          <w:rFonts w:ascii="Times New Roman" w:hAnsi="Times New Roman" w:cs="Times New Roman"/>
          <w:sz w:val="24"/>
          <w:szCs w:val="24"/>
          <w:lang w:val="hr-HR"/>
        </w:rPr>
        <w:t>U kućanstvo se mogu uračunati i članovi uže obitelji koji trenutačno ne stanuju zajedno, ali će u predmetnoj kući uspostaviti zajedničko kućanstvo radi trajnog stanovanja. Time se omogućuje sudjelovanje i osobama koje tek rješavanjem stambenog pitanja stvaraju uvjete za zajednički život. Obveza zajedničkog stanovanja uređuje se ugovorom i izvršava u rokovima propisanim Odlukom.</w:t>
      </w:r>
    </w:p>
    <w:p w14:paraId="2FAEE656" w14:textId="77777777" w:rsidR="00604580" w:rsidRPr="004828DE" w:rsidRDefault="004F79E2" w:rsidP="004828DE">
      <w:pPr>
        <w:spacing w:after="60"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Raspon od 100 % do 110 % procijenjene tržišne vrijednosti prije popusta ograničava nadmetanje cijenom i omogućuje da prednost prvenstveno ovisi o broju članova kućanstva utvrđenom za potrebe rangiranja. Kod jednakog broja prednost ima viša priznata ponuđena cijena, zatim veći broj malodobne djece te ranije zaprimljena ponuda. Ponuda iznad dopuštenog iznosa svodi se na najvišu priznatu cijenu, uz izričit prihvat takvog pravila u obrascu ponude. Popust se računa na priznatu cijenu prije popusta, a ne na već umanjenu početnu cijenu.</w:t>
      </w:r>
    </w:p>
    <w:p w14:paraId="63C7350D" w14:textId="77777777" w:rsidR="00604580" w:rsidRPr="004828DE" w:rsidRDefault="004F79E2" w:rsidP="004828DE">
      <w:pPr>
        <w:keepNext/>
        <w:spacing w:after="60" w:line="240" w:lineRule="auto"/>
        <w:rPr>
          <w:rFonts w:ascii="Times New Roman" w:hAnsi="Times New Roman" w:cs="Times New Roman"/>
          <w:sz w:val="24"/>
          <w:szCs w:val="24"/>
          <w:lang w:val="hr-HR"/>
        </w:rPr>
      </w:pPr>
      <w:r w:rsidRPr="004828DE">
        <w:rPr>
          <w:rFonts w:ascii="Times New Roman" w:hAnsi="Times New Roman" w:cs="Times New Roman"/>
          <w:b/>
          <w:sz w:val="24"/>
          <w:szCs w:val="24"/>
          <w:lang w:val="hr-HR"/>
        </w:rPr>
        <w:t>Dokup i razvrgnuće suvlasništva</w:t>
      </w:r>
    </w:p>
    <w:p w14:paraId="6C4B1C52" w14:textId="6083DADF" w:rsidR="00604580" w:rsidRPr="004828DE" w:rsidRDefault="004F79E2" w:rsidP="004828DE">
      <w:pPr>
        <w:spacing w:after="60"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Dokup je zamišljen za zemljište koje nema opravdanu samostalnu stambenu namjenu ili bi njegovo samostalno privođenje toj namjeni bilo ekonomski </w:t>
      </w:r>
      <w:proofErr w:type="spellStart"/>
      <w:r w:rsidRPr="004828DE">
        <w:rPr>
          <w:rFonts w:ascii="Times New Roman" w:hAnsi="Times New Roman" w:cs="Times New Roman"/>
          <w:sz w:val="24"/>
          <w:szCs w:val="24"/>
          <w:lang w:val="hr-HR"/>
        </w:rPr>
        <w:t>nesrazmjerno</w:t>
      </w:r>
      <w:proofErr w:type="spellEnd"/>
      <w:r w:rsidRPr="004828DE">
        <w:rPr>
          <w:rFonts w:ascii="Times New Roman" w:hAnsi="Times New Roman" w:cs="Times New Roman"/>
          <w:sz w:val="24"/>
          <w:szCs w:val="24"/>
          <w:lang w:val="hr-HR"/>
        </w:rPr>
        <w:t xml:space="preserve">. Ograničenje od 100 m² prati istu kuću, a ne pojedinog podnositelja. Susjedi različitih kuća imaju odvojena ograničenja; ako se natječu za isti nedjeljivi dio zemljišta, primjenjuju se opći kriteriji prednosti. </w:t>
      </w:r>
    </w:p>
    <w:p w14:paraId="1064FF7A" w14:textId="77777777" w:rsidR="00604580" w:rsidRPr="004828DE" w:rsidRDefault="004F79E2" w:rsidP="004828DE">
      <w:pPr>
        <w:keepNext/>
        <w:spacing w:after="60" w:line="240" w:lineRule="auto"/>
        <w:rPr>
          <w:rFonts w:ascii="Times New Roman" w:hAnsi="Times New Roman" w:cs="Times New Roman"/>
          <w:sz w:val="24"/>
          <w:szCs w:val="24"/>
          <w:lang w:val="hr-HR"/>
        </w:rPr>
      </w:pPr>
      <w:r w:rsidRPr="004828DE">
        <w:rPr>
          <w:rFonts w:ascii="Times New Roman" w:hAnsi="Times New Roman" w:cs="Times New Roman"/>
          <w:b/>
          <w:sz w:val="24"/>
          <w:szCs w:val="24"/>
          <w:lang w:val="hr-HR"/>
        </w:rPr>
        <w:lastRenderedPageBreak/>
        <w:t>Zakonski opseg potpore uz postojeću kuću</w:t>
      </w:r>
    </w:p>
    <w:p w14:paraId="3E1B76D8" w14:textId="37C636A2" w:rsidR="00604580" w:rsidRPr="004828DE" w:rsidRDefault="004F79E2" w:rsidP="004828DE">
      <w:pPr>
        <w:spacing w:after="60" w:line="240" w:lineRule="auto"/>
        <w:rPr>
          <w:rFonts w:ascii="Times New Roman" w:hAnsi="Times New Roman" w:cs="Times New Roman"/>
          <w:sz w:val="24"/>
          <w:szCs w:val="24"/>
          <w:lang w:val="hr-HR"/>
        </w:rPr>
      </w:pPr>
      <w:r w:rsidRPr="004828DE">
        <w:rPr>
          <w:rFonts w:ascii="Times New Roman" w:hAnsi="Times New Roman" w:cs="Times New Roman"/>
          <w:sz w:val="24"/>
          <w:szCs w:val="24"/>
          <w:lang w:val="hr-HR"/>
        </w:rPr>
        <w:t xml:space="preserve">Članak 12. Zakona o </w:t>
      </w:r>
      <w:proofErr w:type="spellStart"/>
      <w:r w:rsidRPr="004828DE">
        <w:rPr>
          <w:rFonts w:ascii="Times New Roman" w:hAnsi="Times New Roman" w:cs="Times New Roman"/>
          <w:sz w:val="24"/>
          <w:szCs w:val="24"/>
          <w:lang w:val="hr-HR"/>
        </w:rPr>
        <w:t>priuštivom</w:t>
      </w:r>
      <w:proofErr w:type="spellEnd"/>
      <w:r w:rsidRPr="004828DE">
        <w:rPr>
          <w:rFonts w:ascii="Times New Roman" w:hAnsi="Times New Roman" w:cs="Times New Roman"/>
          <w:sz w:val="24"/>
          <w:szCs w:val="24"/>
          <w:lang w:val="hr-HR"/>
        </w:rPr>
        <w:t xml:space="preserve"> stanovanju postavlja opći uvjet odgovarajuće stambene nekretnine, dok članak 72. uređuje lokalnu potporu za izgradnju kuće. Zbog toga prijedlog ne ustanovljuje bezuvjetno pravo svih vlasnika postojećih kuća na popust za okućnicu, parking ili razvrgnuće. Odredbe o tim svrhama primjenjuju se samo kada konkretna potpora ima zakonski temelj i korisnik ispunjava zakonske uvjete. </w:t>
      </w:r>
    </w:p>
    <w:sectPr w:rsidR="00604580" w:rsidRPr="004828DE" w:rsidSect="002443B5">
      <w:pgSz w:w="12240" w:h="15840"/>
      <w:pgMar w:top="1440" w:right="1440" w:bottom="1440" w:left="1440"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A0F99" w14:textId="77777777" w:rsidR="002B2015" w:rsidRDefault="002B2015">
      <w:pPr>
        <w:spacing w:after="0" w:line="240" w:lineRule="auto"/>
      </w:pPr>
      <w:r>
        <w:separator/>
      </w:r>
    </w:p>
  </w:endnote>
  <w:endnote w:type="continuationSeparator" w:id="0">
    <w:p w14:paraId="6FA481C7" w14:textId="77777777" w:rsidR="002B2015" w:rsidRDefault="002B2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dale Sans UI">
    <w:altName w:val="Times New Roman"/>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E3530" w14:textId="77777777" w:rsidR="002B2015" w:rsidRDefault="002B2015">
      <w:pPr>
        <w:spacing w:after="0" w:line="240" w:lineRule="auto"/>
      </w:pPr>
      <w:r>
        <w:separator/>
      </w:r>
    </w:p>
  </w:footnote>
  <w:footnote w:type="continuationSeparator" w:id="0">
    <w:p w14:paraId="50756FEA" w14:textId="77777777" w:rsidR="002B2015" w:rsidRDefault="002B20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16cid:durableId="1288466232">
    <w:abstractNumId w:val="8"/>
  </w:num>
  <w:num w:numId="2" w16cid:durableId="2043358846">
    <w:abstractNumId w:val="6"/>
  </w:num>
  <w:num w:numId="3" w16cid:durableId="43146226">
    <w:abstractNumId w:val="5"/>
  </w:num>
  <w:num w:numId="4" w16cid:durableId="1784422427">
    <w:abstractNumId w:val="4"/>
  </w:num>
  <w:num w:numId="5" w16cid:durableId="1184855674">
    <w:abstractNumId w:val="7"/>
  </w:num>
  <w:num w:numId="6" w16cid:durableId="2120105519">
    <w:abstractNumId w:val="3"/>
  </w:num>
  <w:num w:numId="7" w16cid:durableId="1976139028">
    <w:abstractNumId w:val="2"/>
  </w:num>
  <w:num w:numId="8" w16cid:durableId="1157960629">
    <w:abstractNumId w:val="1"/>
  </w:num>
  <w:num w:numId="9" w16cid:durableId="86583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56CD"/>
    <w:rsid w:val="00034616"/>
    <w:rsid w:val="0006063C"/>
    <w:rsid w:val="00067B67"/>
    <w:rsid w:val="000843F3"/>
    <w:rsid w:val="000F401D"/>
    <w:rsid w:val="0015074B"/>
    <w:rsid w:val="001A28C7"/>
    <w:rsid w:val="001A37D7"/>
    <w:rsid w:val="001A6464"/>
    <w:rsid w:val="001F3F49"/>
    <w:rsid w:val="00207CFA"/>
    <w:rsid w:val="002443B5"/>
    <w:rsid w:val="00246C2B"/>
    <w:rsid w:val="0029639D"/>
    <w:rsid w:val="0029656B"/>
    <w:rsid w:val="002B2015"/>
    <w:rsid w:val="002C2F72"/>
    <w:rsid w:val="00301543"/>
    <w:rsid w:val="00306324"/>
    <w:rsid w:val="00326F90"/>
    <w:rsid w:val="00342083"/>
    <w:rsid w:val="00356E1B"/>
    <w:rsid w:val="003E3626"/>
    <w:rsid w:val="00407A14"/>
    <w:rsid w:val="0043259A"/>
    <w:rsid w:val="00465659"/>
    <w:rsid w:val="00472E15"/>
    <w:rsid w:val="004828DE"/>
    <w:rsid w:val="004939E5"/>
    <w:rsid w:val="004F5BFE"/>
    <w:rsid w:val="004F79E2"/>
    <w:rsid w:val="005042EE"/>
    <w:rsid w:val="005324F6"/>
    <w:rsid w:val="005709D3"/>
    <w:rsid w:val="0057472B"/>
    <w:rsid w:val="005900E3"/>
    <w:rsid w:val="005B5E12"/>
    <w:rsid w:val="005C79B0"/>
    <w:rsid w:val="00604580"/>
    <w:rsid w:val="006107E8"/>
    <w:rsid w:val="0061159A"/>
    <w:rsid w:val="00617991"/>
    <w:rsid w:val="006F5E12"/>
    <w:rsid w:val="00751F01"/>
    <w:rsid w:val="007B7F0C"/>
    <w:rsid w:val="007F1712"/>
    <w:rsid w:val="008411BB"/>
    <w:rsid w:val="008F6AA1"/>
    <w:rsid w:val="00906AE5"/>
    <w:rsid w:val="00934205"/>
    <w:rsid w:val="00936F10"/>
    <w:rsid w:val="0098111E"/>
    <w:rsid w:val="009A401C"/>
    <w:rsid w:val="009B61BD"/>
    <w:rsid w:val="009D1948"/>
    <w:rsid w:val="009D228E"/>
    <w:rsid w:val="009D3808"/>
    <w:rsid w:val="00A07DF4"/>
    <w:rsid w:val="00A360BA"/>
    <w:rsid w:val="00A62FBF"/>
    <w:rsid w:val="00A77A7B"/>
    <w:rsid w:val="00A9054B"/>
    <w:rsid w:val="00AA1D8D"/>
    <w:rsid w:val="00AD47DB"/>
    <w:rsid w:val="00AD4BDF"/>
    <w:rsid w:val="00B47730"/>
    <w:rsid w:val="00B62ADD"/>
    <w:rsid w:val="00B640C2"/>
    <w:rsid w:val="00BA0046"/>
    <w:rsid w:val="00BC7901"/>
    <w:rsid w:val="00BD1E30"/>
    <w:rsid w:val="00C2040F"/>
    <w:rsid w:val="00CB05DD"/>
    <w:rsid w:val="00CB0664"/>
    <w:rsid w:val="00CB6E92"/>
    <w:rsid w:val="00CF5851"/>
    <w:rsid w:val="00D4746E"/>
    <w:rsid w:val="00D7669E"/>
    <w:rsid w:val="00D96EF4"/>
    <w:rsid w:val="00E923FA"/>
    <w:rsid w:val="00EB0118"/>
    <w:rsid w:val="00EF24F6"/>
    <w:rsid w:val="00F16C67"/>
    <w:rsid w:val="00F253DB"/>
    <w:rsid w:val="00F67D44"/>
    <w:rsid w:val="00F7683F"/>
    <w:rsid w:val="00FC693F"/>
    <w:rsid w:val="00FD0227"/>
    <w:rsid w:val="00FF0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6E85E96-EF09-478A-9ABB-F0899C1A1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0" w:lineRule="auto"/>
      <w:jc w:val="both"/>
    </w:pPr>
    <w:rPr>
      <w:rFonts w:ascii="Arial" w:eastAsia="Arial" w:hAnsi="Arial" w:cs="Arial"/>
      <w:color w:val="000000"/>
    </w:rPr>
  </w:style>
  <w:style w:type="paragraph" w:styleId="Naslov1">
    <w:name w:val="heading 1"/>
    <w:basedOn w:val="Normal"/>
    <w:next w:val="Normal"/>
    <w:link w:val="Naslov1Char"/>
    <w:uiPriority w:val="9"/>
    <w:qFormat/>
    <w:rsid w:val="00FC693F"/>
    <w:pPr>
      <w:keepNext/>
      <w:keepLines/>
      <w:spacing w:before="200" w:after="100"/>
      <w:outlineLvl w:val="0"/>
    </w:pPr>
    <w:rPr>
      <w:b/>
      <w:bCs/>
      <w:szCs w:val="28"/>
    </w:rPr>
  </w:style>
  <w:style w:type="paragraph" w:styleId="Naslov2">
    <w:name w:val="heading 2"/>
    <w:basedOn w:val="Normal"/>
    <w:next w:val="Normal"/>
    <w:link w:val="Naslov2Char"/>
    <w:uiPriority w:val="9"/>
    <w:unhideWhenUsed/>
    <w:qFormat/>
    <w:rsid w:val="00FC693F"/>
    <w:pPr>
      <w:keepNext/>
      <w:keepLines/>
      <w:spacing w:before="200" w:after="100"/>
      <w:outlineLvl w:val="1"/>
    </w:pPr>
    <w:rPr>
      <w:b/>
      <w:bCs/>
      <w:szCs w:val="26"/>
    </w:rPr>
  </w:style>
  <w:style w:type="paragraph" w:styleId="Naslov3">
    <w:name w:val="heading 3"/>
    <w:basedOn w:val="Normal"/>
    <w:next w:val="Normal"/>
    <w:link w:val="Naslov3Char"/>
    <w:uiPriority w:val="9"/>
    <w:unhideWhenUsed/>
    <w:qFormat/>
    <w:rsid w:val="00FC693F"/>
    <w:pPr>
      <w:keepNext/>
      <w:keepLines/>
      <w:spacing w:before="200" w:after="100"/>
      <w:outlineLvl w:val="2"/>
    </w:pPr>
    <w:rPr>
      <w:b/>
      <w:bCs/>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b/>
      <w:bCs/>
      <w:i/>
      <w:iCs/>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i/>
      <w:iCs/>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i/>
      <w:iCs/>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i/>
      <w:iCs/>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rPr>
      <w:rFonts w:ascii="Arial" w:eastAsia="Arial" w:hAnsi="Arial" w:cs="Arial"/>
      <w:color w:val="000000"/>
      <w:sz w:val="22"/>
    </w:rPr>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rPr>
      <w:rFonts w:ascii="Arial" w:eastAsia="Arial" w:hAnsi="Arial" w:cs="Arial"/>
      <w:color w:val="000000"/>
      <w:sz w:val="22"/>
    </w:rPr>
  </w:style>
  <w:style w:type="paragraph" w:styleId="Bezproreda">
    <w:name w:val="No Spacing"/>
    <w:uiPriority w:val="1"/>
    <w:qFormat/>
    <w:rsid w:val="00FC693F"/>
    <w:pPr>
      <w:spacing w:after="0" w:line="240" w:lineRule="auto"/>
      <w:jc w:val="both"/>
    </w:pPr>
    <w:rPr>
      <w:rFonts w:ascii="Arial" w:eastAsia="Arial" w:hAnsi="Arial" w:cs="Arial"/>
      <w:color w:val="000000"/>
    </w:rPr>
  </w:style>
  <w:style w:type="character" w:customStyle="1" w:styleId="Naslov1Char">
    <w:name w:val="Naslov 1 Char"/>
    <w:basedOn w:val="Zadanifontodlomka"/>
    <w:link w:val="Naslov1"/>
    <w:uiPriority w:val="9"/>
    <w:rsid w:val="00FC693F"/>
    <w:rPr>
      <w:rFonts w:ascii="Arial" w:eastAsia="Arial" w:hAnsi="Arial" w:cs="Arial"/>
      <w:b/>
      <w:bCs/>
      <w:color w:val="000000"/>
      <w:sz w:val="22"/>
      <w:szCs w:val="28"/>
    </w:rPr>
  </w:style>
  <w:style w:type="character" w:customStyle="1" w:styleId="Naslov2Char">
    <w:name w:val="Naslov 2 Char"/>
    <w:basedOn w:val="Zadanifontodlomka"/>
    <w:link w:val="Naslov2"/>
    <w:uiPriority w:val="9"/>
    <w:rsid w:val="00FC693F"/>
    <w:rPr>
      <w:rFonts w:ascii="Arial" w:eastAsia="Arial" w:hAnsi="Arial" w:cs="Arial"/>
      <w:b/>
      <w:bCs/>
      <w:color w:val="000000"/>
      <w:sz w:val="22"/>
      <w:szCs w:val="26"/>
    </w:rPr>
  </w:style>
  <w:style w:type="character" w:customStyle="1" w:styleId="Naslov3Char">
    <w:name w:val="Naslov 3 Char"/>
    <w:basedOn w:val="Zadanifontodlomka"/>
    <w:link w:val="Naslov3"/>
    <w:uiPriority w:val="9"/>
    <w:rsid w:val="00FC693F"/>
    <w:rPr>
      <w:rFonts w:ascii="Arial" w:eastAsia="Arial" w:hAnsi="Arial" w:cs="Arial"/>
      <w:b/>
      <w:bCs/>
      <w:color w:val="000000"/>
      <w:sz w:val="22"/>
    </w:rPr>
  </w:style>
  <w:style w:type="paragraph" w:styleId="Naslov">
    <w:name w:val="Title"/>
    <w:basedOn w:val="Normal"/>
    <w:next w:val="Normal"/>
    <w:link w:val="NaslovChar"/>
    <w:uiPriority w:val="10"/>
    <w:qFormat/>
    <w:rsid w:val="00FC693F"/>
    <w:pPr>
      <w:keepNext/>
      <w:spacing w:before="200" w:after="100" w:line="240" w:lineRule="auto"/>
      <w:contextualSpacing/>
    </w:pPr>
    <w:rPr>
      <w:b/>
      <w:spacing w:val="5"/>
      <w:kern w:val="28"/>
      <w:szCs w:val="52"/>
    </w:rPr>
  </w:style>
  <w:style w:type="character" w:customStyle="1" w:styleId="NaslovChar">
    <w:name w:val="Naslov Char"/>
    <w:basedOn w:val="Zadanifontodlomka"/>
    <w:link w:val="Naslov"/>
    <w:uiPriority w:val="10"/>
    <w:rsid w:val="00FC693F"/>
    <w:rPr>
      <w:rFonts w:ascii="Arial" w:eastAsia="Arial" w:hAnsi="Arial" w:cs="Arial"/>
      <w:color w:val="000000"/>
      <w:spacing w:val="5"/>
      <w:kern w:val="28"/>
      <w:sz w:val="22"/>
      <w:szCs w:val="52"/>
    </w:rPr>
  </w:style>
  <w:style w:type="paragraph" w:styleId="Podnaslov">
    <w:name w:val="Subtitle"/>
    <w:basedOn w:val="Normal"/>
    <w:next w:val="Normal"/>
    <w:link w:val="PodnaslovChar"/>
    <w:uiPriority w:val="11"/>
    <w:qFormat/>
    <w:rsid w:val="00FC693F"/>
    <w:pPr>
      <w:numPr>
        <w:ilvl w:val="1"/>
      </w:numPr>
    </w:pPr>
    <w:rPr>
      <w:i/>
      <w:iCs/>
      <w:spacing w:val="15"/>
      <w:szCs w:val="24"/>
    </w:rPr>
  </w:style>
  <w:style w:type="character" w:customStyle="1" w:styleId="PodnaslovChar">
    <w:name w:val="Podnaslov Char"/>
    <w:basedOn w:val="Zadanifontodlomka"/>
    <w:link w:val="Podnaslov"/>
    <w:uiPriority w:val="11"/>
    <w:rsid w:val="00FC693F"/>
    <w:rPr>
      <w:rFonts w:ascii="Arial" w:eastAsia="Arial" w:hAnsi="Arial" w:cs="Arial"/>
      <w:i/>
      <w:iCs/>
      <w:color w:val="000000"/>
      <w:spacing w:val="15"/>
      <w:sz w:val="22"/>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rPr>
      <w:rFonts w:ascii="Arial" w:eastAsia="Arial" w:hAnsi="Arial" w:cs="Arial"/>
      <w:color w:val="000000"/>
      <w:sz w:val="22"/>
    </w:rPr>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rPr>
      <w:rFonts w:ascii="Arial" w:eastAsia="Arial" w:hAnsi="Arial" w:cs="Arial"/>
      <w:color w:val="000000"/>
      <w:sz w:val="22"/>
    </w:rPr>
  </w:style>
  <w:style w:type="paragraph" w:styleId="Tijeloteksta3">
    <w:name w:val="Body Text 3"/>
    <w:basedOn w:val="Normal"/>
    <w:link w:val="Tijeloteksta3Char"/>
    <w:uiPriority w:val="99"/>
    <w:unhideWhenUsed/>
    <w:rsid w:val="00AA1D8D"/>
    <w:pPr>
      <w:spacing w:after="120"/>
    </w:pPr>
    <w:rPr>
      <w:szCs w:val="16"/>
    </w:rPr>
  </w:style>
  <w:style w:type="character" w:customStyle="1" w:styleId="Tijeloteksta3Char">
    <w:name w:val="Tijelo teksta 3 Char"/>
    <w:basedOn w:val="Zadanifontodlomka"/>
    <w:link w:val="Tijeloteksta3"/>
    <w:uiPriority w:val="99"/>
    <w:rsid w:val="00AA1D8D"/>
    <w:rPr>
      <w:rFonts w:ascii="Arial" w:eastAsia="Arial" w:hAnsi="Arial" w:cs="Arial"/>
      <w:color w:val="000000"/>
      <w:sz w:val="22"/>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jc w:val="both"/>
    </w:pPr>
    <w:rPr>
      <w:rFonts w:ascii="Arial" w:eastAsia="Arial" w:hAnsi="Arial" w:cs="Arial"/>
      <w:color w:val="000000"/>
      <w:szCs w:val="20"/>
    </w:rPr>
  </w:style>
  <w:style w:type="character" w:customStyle="1" w:styleId="TekstmakronaredbeChar">
    <w:name w:val="Tekst makronaredbe Char"/>
    <w:basedOn w:val="Zadanifontodlomka"/>
    <w:link w:val="Tekstmakronaredbe"/>
    <w:uiPriority w:val="99"/>
    <w:rsid w:val="0029639D"/>
    <w:rPr>
      <w:rFonts w:ascii="Arial" w:eastAsia="Arial" w:hAnsi="Arial" w:cs="Arial"/>
      <w:color w:val="000000"/>
      <w:sz w:val="22"/>
      <w:szCs w:val="20"/>
    </w:rPr>
  </w:style>
  <w:style w:type="paragraph" w:styleId="Citat">
    <w:name w:val="Quote"/>
    <w:basedOn w:val="Normal"/>
    <w:next w:val="Normal"/>
    <w:link w:val="CitatChar"/>
    <w:uiPriority w:val="29"/>
    <w:qFormat/>
    <w:rsid w:val="00FC693F"/>
    <w:rPr>
      <w:i/>
      <w:iCs/>
    </w:rPr>
  </w:style>
  <w:style w:type="character" w:customStyle="1" w:styleId="CitatChar">
    <w:name w:val="Citat Char"/>
    <w:basedOn w:val="Zadanifontodlomka"/>
    <w:link w:val="Citat"/>
    <w:uiPriority w:val="29"/>
    <w:rsid w:val="00FC693F"/>
    <w:rPr>
      <w:rFonts w:ascii="Arial" w:eastAsia="Arial" w:hAnsi="Arial" w:cs="Arial"/>
      <w:i/>
      <w:iCs/>
      <w:color w:val="000000"/>
      <w:sz w:val="22"/>
    </w:rPr>
  </w:style>
  <w:style w:type="character" w:customStyle="1" w:styleId="Naslov4Char">
    <w:name w:val="Naslov 4 Char"/>
    <w:basedOn w:val="Zadanifontodlomka"/>
    <w:link w:val="Naslov4"/>
    <w:uiPriority w:val="9"/>
    <w:semiHidden/>
    <w:rsid w:val="00FC693F"/>
    <w:rPr>
      <w:rFonts w:ascii="Arial" w:eastAsia="Arial" w:hAnsi="Arial" w:cs="Arial"/>
      <w:b/>
      <w:bCs/>
      <w:i/>
      <w:iCs/>
      <w:color w:val="000000"/>
      <w:sz w:val="22"/>
    </w:rPr>
  </w:style>
  <w:style w:type="character" w:customStyle="1" w:styleId="Naslov5Char">
    <w:name w:val="Naslov 5 Char"/>
    <w:basedOn w:val="Zadanifontodlomka"/>
    <w:link w:val="Naslov5"/>
    <w:uiPriority w:val="9"/>
    <w:semiHidden/>
    <w:rsid w:val="00FC693F"/>
    <w:rPr>
      <w:rFonts w:ascii="Arial" w:eastAsia="Arial" w:hAnsi="Arial" w:cs="Arial"/>
      <w:color w:val="000000"/>
      <w:sz w:val="22"/>
    </w:rPr>
  </w:style>
  <w:style w:type="character" w:customStyle="1" w:styleId="Naslov6Char">
    <w:name w:val="Naslov 6 Char"/>
    <w:basedOn w:val="Zadanifontodlomka"/>
    <w:link w:val="Naslov6"/>
    <w:uiPriority w:val="9"/>
    <w:semiHidden/>
    <w:rsid w:val="00FC693F"/>
    <w:rPr>
      <w:rFonts w:ascii="Arial" w:eastAsia="Arial" w:hAnsi="Arial" w:cs="Arial"/>
      <w:i/>
      <w:iCs/>
      <w:color w:val="000000"/>
      <w:sz w:val="22"/>
    </w:rPr>
  </w:style>
  <w:style w:type="character" w:customStyle="1" w:styleId="Naslov7Char">
    <w:name w:val="Naslov 7 Char"/>
    <w:basedOn w:val="Zadanifontodlomka"/>
    <w:link w:val="Naslov7"/>
    <w:uiPriority w:val="9"/>
    <w:semiHidden/>
    <w:rsid w:val="00FC693F"/>
    <w:rPr>
      <w:rFonts w:ascii="Arial" w:eastAsia="Arial" w:hAnsi="Arial" w:cs="Arial"/>
      <w:i/>
      <w:iCs/>
      <w:color w:val="000000"/>
      <w:sz w:val="22"/>
    </w:rPr>
  </w:style>
  <w:style w:type="character" w:customStyle="1" w:styleId="Naslov8Char">
    <w:name w:val="Naslov 8 Char"/>
    <w:basedOn w:val="Zadanifontodlomka"/>
    <w:link w:val="Naslov8"/>
    <w:uiPriority w:val="9"/>
    <w:semiHidden/>
    <w:rsid w:val="00FC693F"/>
    <w:rPr>
      <w:rFonts w:ascii="Arial" w:eastAsia="Arial" w:hAnsi="Arial" w:cs="Arial"/>
      <w:color w:val="000000"/>
      <w:sz w:val="22"/>
      <w:szCs w:val="20"/>
    </w:rPr>
  </w:style>
  <w:style w:type="character" w:customStyle="1" w:styleId="Naslov9Char">
    <w:name w:val="Naslov 9 Char"/>
    <w:basedOn w:val="Zadanifontodlomka"/>
    <w:link w:val="Naslov9"/>
    <w:uiPriority w:val="9"/>
    <w:semiHidden/>
    <w:rsid w:val="00FC693F"/>
    <w:rPr>
      <w:rFonts w:ascii="Arial" w:eastAsia="Arial" w:hAnsi="Arial" w:cs="Arial"/>
      <w:i/>
      <w:iCs/>
      <w:color w:val="000000"/>
      <w:sz w:val="22"/>
      <w:szCs w:val="20"/>
    </w:rPr>
  </w:style>
  <w:style w:type="paragraph" w:styleId="Opisslike">
    <w:name w:val="caption"/>
    <w:basedOn w:val="Normal"/>
    <w:next w:val="Normal"/>
    <w:uiPriority w:val="35"/>
    <w:semiHidden/>
    <w:unhideWhenUsed/>
    <w:qFormat/>
    <w:rsid w:val="00FC693F"/>
    <w:pPr>
      <w:spacing w:line="240" w:lineRule="auto"/>
    </w:pPr>
    <w:rPr>
      <w:b/>
      <w:bCs/>
      <w:szCs w:val="18"/>
    </w:rPr>
  </w:style>
  <w:style w:type="character" w:styleId="Naglaeno">
    <w:name w:val="Strong"/>
    <w:basedOn w:val="Zadanifontodlomka"/>
    <w:uiPriority w:val="22"/>
    <w:qFormat/>
    <w:rsid w:val="00FC693F"/>
    <w:rPr>
      <w:rFonts w:ascii="Arial" w:eastAsia="Arial" w:hAnsi="Arial" w:cs="Arial"/>
      <w:b/>
      <w:bCs/>
      <w:color w:val="000000"/>
      <w:sz w:val="22"/>
    </w:rPr>
  </w:style>
  <w:style w:type="character" w:styleId="Istaknuto">
    <w:name w:val="Emphasis"/>
    <w:basedOn w:val="Zadanifontodlomka"/>
    <w:uiPriority w:val="20"/>
    <w:qFormat/>
    <w:rsid w:val="00FC693F"/>
    <w:rPr>
      <w:rFonts w:ascii="Arial" w:eastAsia="Arial" w:hAnsi="Arial" w:cs="Arial"/>
      <w:i/>
      <w:iCs/>
      <w:color w:val="000000"/>
      <w:sz w:val="22"/>
    </w:rPr>
  </w:style>
  <w:style w:type="paragraph" w:styleId="Naglaencitat">
    <w:name w:val="Intense Quote"/>
    <w:basedOn w:val="Normal"/>
    <w:next w:val="Normal"/>
    <w:link w:val="NaglaencitatChar"/>
    <w:uiPriority w:val="30"/>
    <w:qFormat/>
    <w:rsid w:val="00FC693F"/>
    <w:pPr>
      <w:spacing w:before="200" w:after="280"/>
      <w:ind w:left="936" w:right="936"/>
    </w:pPr>
    <w:rPr>
      <w:b/>
      <w:bCs/>
      <w:i/>
      <w:iCs/>
    </w:rPr>
  </w:style>
  <w:style w:type="character" w:customStyle="1" w:styleId="NaglaencitatChar">
    <w:name w:val="Naglašen citat Char"/>
    <w:basedOn w:val="Zadanifontodlomka"/>
    <w:link w:val="Naglaencitat"/>
    <w:uiPriority w:val="30"/>
    <w:rsid w:val="00FC693F"/>
    <w:rPr>
      <w:rFonts w:ascii="Arial" w:eastAsia="Arial" w:hAnsi="Arial" w:cs="Arial"/>
      <w:b/>
      <w:bCs/>
      <w:i/>
      <w:iCs/>
      <w:color w:val="000000"/>
      <w:sz w:val="22"/>
    </w:rPr>
  </w:style>
  <w:style w:type="character" w:styleId="Neupadljivoisticanje">
    <w:name w:val="Subtle Emphasis"/>
    <w:basedOn w:val="Zadanifontodlomka"/>
    <w:uiPriority w:val="19"/>
    <w:qFormat/>
    <w:rsid w:val="00FC693F"/>
    <w:rPr>
      <w:rFonts w:ascii="Arial" w:eastAsia="Arial" w:hAnsi="Arial" w:cs="Arial"/>
      <w:i/>
      <w:iCs/>
      <w:color w:val="000000"/>
      <w:sz w:val="22"/>
    </w:rPr>
  </w:style>
  <w:style w:type="character" w:styleId="Jakoisticanje">
    <w:name w:val="Intense Emphasis"/>
    <w:basedOn w:val="Zadanifontodlomka"/>
    <w:uiPriority w:val="21"/>
    <w:qFormat/>
    <w:rsid w:val="00FC693F"/>
    <w:rPr>
      <w:rFonts w:ascii="Arial" w:eastAsia="Arial" w:hAnsi="Arial" w:cs="Arial"/>
      <w:b/>
      <w:bCs/>
      <w:i/>
      <w:iCs/>
      <w:color w:val="000000"/>
      <w:sz w:val="22"/>
    </w:rPr>
  </w:style>
  <w:style w:type="character" w:styleId="Neupadljivareferenca">
    <w:name w:val="Subtle Reference"/>
    <w:basedOn w:val="Zadanifontodlomka"/>
    <w:uiPriority w:val="31"/>
    <w:qFormat/>
    <w:rsid w:val="00FC693F"/>
    <w:rPr>
      <w:rFonts w:ascii="Arial" w:eastAsia="Arial" w:hAnsi="Arial" w:cs="Arial"/>
      <w:smallCaps/>
      <w:color w:val="000000"/>
      <w:sz w:val="22"/>
      <w:u w:val="single"/>
    </w:rPr>
  </w:style>
  <w:style w:type="character" w:styleId="Istaknutareferenca">
    <w:name w:val="Intense Reference"/>
    <w:basedOn w:val="Zadanifontodlomka"/>
    <w:uiPriority w:val="32"/>
    <w:qFormat/>
    <w:rsid w:val="00FC693F"/>
    <w:rPr>
      <w:rFonts w:ascii="Arial" w:eastAsia="Arial" w:hAnsi="Arial" w:cs="Arial"/>
      <w:b/>
      <w:bCs/>
      <w:smallCaps/>
      <w:color w:val="000000"/>
      <w:spacing w:val="5"/>
      <w:sz w:val="22"/>
      <w:u w:val="single"/>
    </w:rPr>
  </w:style>
  <w:style w:type="character" w:styleId="Naslovknjige">
    <w:name w:val="Book Title"/>
    <w:basedOn w:val="Zadanifontodlomka"/>
    <w:uiPriority w:val="33"/>
    <w:qFormat/>
    <w:rsid w:val="00FC693F"/>
    <w:rPr>
      <w:rFonts w:ascii="Arial" w:eastAsia="Arial" w:hAnsi="Arial" w:cs="Arial"/>
      <w:b/>
      <w:bCs/>
      <w:smallCaps/>
      <w:color w:val="000000"/>
      <w:spacing w:val="5"/>
      <w:sz w:val="22"/>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00000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00000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00000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00000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00000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00000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00000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Obojanosjenanje-Isticanje1">
    <w:name w:val="Colorful Shading Accent 1"/>
    <w:basedOn w:val="Obinatablica"/>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Sjenanjeuboji-Isticanje2">
    <w:name w:val="Colorful Shading Accent 2"/>
    <w:basedOn w:val="Obinatablica"/>
    <w:uiPriority w:val="71"/>
    <w:rsid w:val="00CB0664"/>
    <w:pPr>
      <w:spacing w:after="0" w:line="240" w:lineRule="auto"/>
    </w:pPr>
    <w:rPr>
      <w:color w:val="00000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Obojanosjenanje-Isticanje3">
    <w:name w:val="Colorful Shading Accent 3"/>
    <w:basedOn w:val="Obinatablica"/>
    <w:uiPriority w:val="71"/>
    <w:rsid w:val="00CB0664"/>
    <w:pPr>
      <w:spacing w:after="0" w:line="240" w:lineRule="auto"/>
    </w:pPr>
    <w:rPr>
      <w:color w:val="00000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Obojanosjenanje-Isticanje5">
    <w:name w:val="Colorful Shading Accent 5"/>
    <w:basedOn w:val="Obinatablica"/>
    <w:uiPriority w:val="71"/>
    <w:rsid w:val="00CB0664"/>
    <w:pPr>
      <w:spacing w:after="0" w:line="240" w:lineRule="auto"/>
    </w:pPr>
    <w:rPr>
      <w:color w:val="00000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Obojanosjenanje-Isticanje6">
    <w:name w:val="Colorful Shading Accent 6"/>
    <w:basedOn w:val="Obinatablica"/>
    <w:uiPriority w:val="71"/>
    <w:rsid w:val="00CB0664"/>
    <w:pPr>
      <w:spacing w:after="0" w:line="240" w:lineRule="auto"/>
    </w:pPr>
    <w:rPr>
      <w:color w:val="00000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Obojanipopis">
    <w:name w:val="Colorful List"/>
    <w:basedOn w:val="Obinatablica"/>
    <w:uiPriority w:val="72"/>
    <w:rsid w:val="00CB0664"/>
    <w:pPr>
      <w:spacing w:after="0" w:line="240" w:lineRule="auto"/>
    </w:pPr>
    <w:rPr>
      <w:color w:val="000000"/>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5127</Words>
  <Characters>29228</Characters>
  <Application>Microsoft Office Word</Application>
  <DocSecurity>0</DocSecurity>
  <Lines>243</Lines>
  <Paragraphs>68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Odluka o potporama za rješavanje stambenog pitanja na području Grada Ploča</vt:lpstr>
      <vt:lpstr/>
    </vt:vector>
  </TitlesOfParts>
  <Manager/>
  <Company/>
  <LinksUpToDate>false</LinksUpToDate>
  <CharactersWithSpaces>34287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Odluka o potporama za rješavanje stambenog pitanja na području Grada Ploča</dc:title>
  <dc:subject>Prijedlog općeg akta s obrazloženjem</dc:subject>
  <dc:creator>Grad Ploče</dc:creator>
  <cp:keywords/>
  <dc:description>generated by python-docx</dc:description>
  <cp:lastModifiedBy>Danijel Štula</cp:lastModifiedBy>
  <cp:revision>9</cp:revision>
  <dcterms:created xsi:type="dcterms:W3CDTF">2026-10-16T13:07:00Z</dcterms:created>
  <dcterms:modified xsi:type="dcterms:W3CDTF">2026-10-16T13:55:00Z</dcterms:modified>
  <cp:category/>
</cp:coreProperties>
</file>