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c78b8c165e4ce5" /></Relationships>
</file>

<file path=word/document.xml><?xml version="1.0" encoding="utf-8"?>
<w:document xmlns:w="http://schemas.openxmlformats.org/wordprocessingml/2006/main">
  <w:body>
    <w:tbl>
      <w:tblPr>
        <w:tblW w:w="9000" w:type="dxa"/>
        <w:tblBorders>
          <w:top w:val="nil"/>
          <w:bottom w:val="nil"/>
          <w:left w:val="nil"/>
          <w:right w:val="nil"/>
          <w:insideH w:val="nil"/>
          <w:insideV w:val="nil"/>
        </w:tblBorders>
        <w:tblCellSpacing w:w="60" w:type="dxa"/>
        <w:shd w:val="clear" w:color="auto" w:fill="E7F0F9"/>
      </w:tblPr>
      <w:tblGrid>
        <w:gridCol w:w="1200"/>
        <w:gridCol w:w="4500"/>
      </w:tblGrid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RKP broj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32109</w:t>
            </w:r>
          </w:p>
        </w:tc>
      </w:tr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Naziv obveznika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GRAD PLOČE</w:t>
            </w:r>
          </w:p>
        </w:tc>
      </w:tr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Razina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22</w:t>
            </w:r>
          </w:p>
        </w:tc>
      </w:tr>
    </w:tbl>
    <w:p>
      <w:r>
        <w:br/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BILJEŠKE UZ FINANCIJSKE IZVJEŠTAJE</w:t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ZA RAZDOBLJE</w:t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I - XII 2025.</w:t>
      </w:r>
    </w:p>
    <w:p/>
    <w:p>
      <w:pPr>
        <w:jc w:val="center"/>
        <w:pStyle w:val="Normal"/>
        <w:spacing w:line="240" w:lineRule="auto"/>
        <w:keepNext/>
      </w:pPr>
      <w:r>
        <w:rPr>
          <w:b/>
          <w:sz w:val="28"/>
          <w:rFonts w:ascii="Times New Roman" w:hAnsi="Times New Roman"/>
        </w:rPr>
        <w:t xml:space="preserve">Izvještaj o prihodima i rashodima, primicima i izdacima</w:t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0" w:type="auto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POSLOVANJA (šifre 61+62+63+64+65+66+67+68)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8.016.255,43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9.867.057,89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123,1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POSLOVANJA (šifre 31+32+34+35+36+37+38)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7.028.468,57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8.316.095,42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118,3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VIŠAK PRIHODA POSLOVANJA (šifre 6-Z005)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X001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987.786,86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1.550.962,47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157,0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od prodaje nefinancijske imovine (šifre 71+72+73+74)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1.430.097,60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100.694,95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7,0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za nabavu nefinancijske imovine (šifre 41+42+43+44+45)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2.510.658,37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1.663.118,04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66,2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MANJAK PRIHODA OD NEFINANCIJSKE IMOVINE (šifre 4-7)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Y002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1.080.560,77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1.562.423,09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144,6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Primici od financijske imovine i zaduživanja (šifre 81+82+83+84+85)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Izdaci za financijsku imovinu i otplate zajmova (šifre 51+52+53+54+55)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48.776,48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48.655,72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99,8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MANJAK PRIMITAKA OD FINANCIJSKE IMOVINE I ZADUŽIVANJA (šifre 5-8)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Y003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48.776,48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48.655,72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99,8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MANJAK PRIHODA I PRIMITAKA (šifre Y345-X678)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Y005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141.550,39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60.116,34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42,5</w:t>
            </w:r>
          </w:p>
        </w:tc>
      </w:tr>
    </w:tbl>
    <w:p>
      <w:pPr>
        <w:spacing w:before="0" w:after="0"/>
      </w:pPr>
    </w:p>
    <w:p>
      <w:r>
        <w:t xml:space="preserve">Grad Ploče za izvještajno razdoblje 2025. godine bilježi ukupni manjak od 60 116,34 eura. Ukupni prihodi poslovanja iznose 8.867.057,89 eura što predstavlja porast od 23,11% u odnosu na isto izvještajno razdoblje prethodne godine. Ukupni rashodi poslovanja iznose 8.316.095,42 eura što predstavlja porast od 18,3% u odnosu na isto izvještajno razdoblje prethodne godine. Višak prihoda poslovanja iznosi 1.550.962,47 eura. Ukupni prihodi od prodaje nefinancijske imovine iznose 100.694,95 eura i bilježe značajni pad od 93%, dok ukupni rashodi za nabavu nefinancijske imovie iznose 1.663.118.04 eura koji također bilježe pad od 33,80%. Slijedom navedenog manjak prihoda od nefinancijske imovine iznosi 1.562.423,09 eura. Kad se tome pridoda i manjak od financijske imovine i zaduživanja od 48.655,72 eura dolazimo do konačnog rezultata tj. manjka od 60.116,34 eura.</w:t>
      </w:r>
    </w:p>
    <w:p>
      <w:r>
        <w:br/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od poreza (šifre 611+612+613+614+615+616)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3.521.628,60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3.983.124,37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113,1</w:t>
            </w:r>
          </w:p>
        </w:tc>
      </w:tr>
    </w:tbl>
    <w:p>
      <w:pPr>
        <w:spacing w:before="0" w:after="0"/>
      </w:pPr>
    </w:p>
    <w:p>
      <w:r>
        <w:t xml:space="preserve">Prihodi od poreza bilježe rast od 13,10% u odnosu na isto ivještajno razdbolje prethodne godine, a razlog tome je ponajviše povećanja plaćau javnom u privatnom sektoru kao i uvođenje stalnog poreza na nakretnine.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3.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Pomoći iz inozemstva i od subjekata unutar općeg proračuna (šifre 631+632+633+634+635+636+637+638+639)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2.252.862,51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2.899.176,35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128,7</w:t>
            </w:r>
          </w:p>
        </w:tc>
      </w:tr>
    </w:tbl>
    <w:p>
      <w:pPr>
        <w:spacing w:before="0" w:after="0"/>
      </w:pPr>
    </w:p>
    <w:p>
      <w:r>
        <w:t xml:space="preserve">Pomoći iz inozemstva i od subjekata uunutar općeg proračuna bilježe blagi porast od 28,7% što ukazuje na kontinurani rad jedinica lokalne samouprave u prijavljivanju i provođenju raznih projekata na dobrobit grada i njegovih građana.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4.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od imovine (šifre 641+642+643)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111.542,55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111.590,65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100,0</w:t>
            </w:r>
          </w:p>
        </w:tc>
      </w:tr>
    </w:tbl>
    <w:p>
      <w:pPr>
        <w:spacing w:before="0" w:after="0"/>
      </w:pPr>
    </w:p>
    <w:p>
      <w:r>
        <w:t xml:space="preserve">Prihodi od imovine su u pravilu ostali nepromjenjeni u odnosu na isto izvještajno razdoblje prethodne godine.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5.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653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Komunalni doprinosi i naknade (šifre 6531 do 6533)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653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1.985.954,12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2.485.022,79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125,1</w:t>
            </w:r>
          </w:p>
        </w:tc>
      </w:tr>
    </w:tbl>
    <w:p>
      <w:pPr>
        <w:spacing w:before="0" w:after="0"/>
      </w:pPr>
    </w:p>
    <w:p>
      <w:r>
        <w:t xml:space="preserve">Komunalni doprinos i nakande bilježe blagi porast u iznosu od 25,10% ponajviše zbog nešto veće realizirane naplate od komunalnog doprinosa.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6.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663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Donacije od pravnih i fizičkih osoba izvan općeg proračuna te povrat donacija i kapitalnih pomoći po protestiranim jamstvima (šifre 6631 do 6634)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663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11.000,00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108.000,00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981,8</w:t>
            </w:r>
          </w:p>
        </w:tc>
      </w:tr>
    </w:tbl>
    <w:p>
      <w:pPr>
        <w:spacing w:before="0" w:after="0"/>
      </w:pPr>
    </w:p>
    <w:p>
      <w:r>
        <w:t xml:space="preserve">Donacija od pravnih i fizičkih osoba izvan općeg proračuna bilježe porast zbog donacije koju je Grad Ploče primio od Centra za vozila Hrvatske u iznosu od 100.000,00 eura za sanaciju opasnih mjesta na području Grada Ploča.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7.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Kazne, upravne mjere i ostali prihodi (šifre 681+683)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14.810,20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9.330,42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63,0</w:t>
            </w:r>
          </w:p>
        </w:tc>
      </w:tr>
    </w:tbl>
    <w:p>
      <w:pPr>
        <w:spacing w:before="0" w:after="0"/>
      </w:pPr>
    </w:p>
    <w:p>
      <w:r>
        <w:t xml:space="preserve">Kazne, upravne mjere i ostali prihodi su realizirani u nešto manjoj mjeru u odnosu na isto izvještajno razdoblje prošle godine najviše zbog manjeg broja naplaćenih kazni na podrjučju Grada.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8.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POSLOVANJA (šifre 31+32+34+35+36+37+38)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7.028.468,57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8.316.095,42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118,3</w:t>
            </w:r>
          </w:p>
        </w:tc>
      </w:tr>
    </w:tbl>
    <w:p>
      <w:pPr>
        <w:spacing w:before="0" w:after="0"/>
      </w:pPr>
    </w:p>
    <w:p>
      <w:r>
        <w:t xml:space="preserve">Rashodi poslovanja su blago povećani u odnosu na isto izvještajno razdoblje prethodne godine, u postotku za 18,3%. Povećanje se odnosi na sveopće povećanje cijena roba i usluga, kao i na povećanje materijalnih prava radnika jedinice lokalne samouprave i njegovih proračunskih korisnika. Također tu ulazi i trošak plaća za prosinac 2025. koji se do sada knjižio na drukačiji način i nije teretio proračun u kojem je zapravo nastao. Izmjenom kontnog plana za 2025 godinu, jedinice lokalne samouprave su morale predvidjeti 13  umjesto dosadašnjih 12 plaća za svoje djeatnike i proračunske korisnike kako bi zadovoljile formu knjiženja.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9.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Materijalni rashodi (šifre 321+322+323+324+325+329)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2.154.174,13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2.182.881,34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101,3</w:t>
            </w:r>
          </w:p>
        </w:tc>
      </w:tr>
    </w:tbl>
    <w:p>
      <w:pPr>
        <w:spacing w:before="0" w:after="0"/>
      </w:pPr>
    </w:p>
    <w:p>
      <w:r>
        <w:t xml:space="preserve">Troškovi za materijalne rashode su se uglavnom zadržali na razini prošlog izvještajnog razdoblja.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10.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3291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Naknade za rad predstavničkih i izvršnih tijela, povjerenstava i slično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3291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2.580,11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16.842,50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652,8</w:t>
            </w:r>
          </w:p>
        </w:tc>
      </w:tr>
    </w:tbl>
    <w:p>
      <w:pPr>
        <w:spacing w:before="0" w:after="0"/>
      </w:pPr>
    </w:p>
    <w:p>
      <w:r>
        <w:t xml:space="preserve">Naknade za rad predstavničkih i izvršnih tijela, povjerenstava i slično bilježe veći rast u odnosu na isto izvještajno razdoblje prethodne godine zbog održavanja Lokalnih izborau svibnju 2025. godine.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11.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Financijski rashodi (šifre 341+342+343)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31.138,90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17.486,10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56,2</w:t>
            </w:r>
          </w:p>
        </w:tc>
      </w:tr>
    </w:tbl>
    <w:p>
      <w:pPr>
        <w:spacing w:before="0" w:after="0"/>
      </w:pPr>
    </w:p>
    <w:p>
      <w:r>
        <w:t xml:space="preserve">Financijski rashodi bilježe osjetan pad u odnosu na isto izvještajno razdoblje ptrehodine godine najviše zbog smanjenja troškova zateznih kamata.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12.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Subvencije (šifre 351+352+353)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13.416,05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Grad Ploče je 2025. godini provodio mjeru financijske pomoći ženama poduzetnicama na području Grada Ploča te sufinancirao njihove troškove kako bi one unaprijedile svoje poslovanje.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13.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367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Prijenosi proračunskim korisnicima iz nadležnog proračuna za financiranje redovne djelatnosti (šifre 3672 do 3674)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367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2.320.676,31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2.976.591,91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128,3</w:t>
            </w:r>
          </w:p>
        </w:tc>
      </w:tr>
    </w:tbl>
    <w:p>
      <w:pPr>
        <w:spacing w:before="0" w:after="0"/>
      </w:pPr>
    </w:p>
    <w:p>
      <w:r>
        <w:t xml:space="preserve">2.976.591,91 eura je ukupan iznos koji je Grad Ploče uplatio na račune svojih proračunskih korisnika kako bi sufinancirao njihov rad i djelovanje. </w:t>
      </w:r>
    </w:p>
    <w:p>
      <w:r>
        <w:t xml:space="preserve">Grad ima 4 proračunska korisnika: Javnu vatrogasnu postrojbu, Narodnu knjižnicu Ploče, Dječji vrtić Ploče te Pučko otvoreno učilište Ploče.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14.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za donacije, kazne, naknade šteta i kapitalne pomoći (šifre 381+382+383+386)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1.299.606,30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1.638.301,38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126,1</w:t>
            </w:r>
          </w:p>
        </w:tc>
      </w:tr>
    </w:tbl>
    <w:p>
      <w:pPr>
        <w:spacing w:before="0" w:after="0"/>
      </w:pPr>
    </w:p>
    <w:p>
      <w:r>
        <w:t xml:space="preserve">Rashodi za donacije, kazne, nakande šteta i kapitalne pomoći bilježe blagi porast od 26,10% što u kazuje na kontinurane izdatke Grada za donacije stanovništvu.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15.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od prodaje nefinancijske imovine (šifre 71+72+73+74)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1.430.097,60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100.694,95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7,0</w:t>
            </w:r>
          </w:p>
        </w:tc>
      </w:tr>
    </w:tbl>
    <w:p>
      <w:pPr>
        <w:spacing w:before="0" w:after="0"/>
      </w:pPr>
    </w:p>
    <w:p>
      <w:r>
        <w:t xml:space="preserve">Prihodi od prodaje nefinancijske imovine bilježe značajan pad u odnosu na isto izvještajno razdoblje prošle godine. </w:t>
      </w:r>
    </w:p>
    <w:p>
      <w:r>
        <w:t xml:space="preserve">Glavni razlog tomu je činjenica da Grad u 2025. godini nije realizirao niti jednu prodaju zemljišta koju je proračunom namjeravao prodati te se shodno tome ostavario manjak od nefinancijske imovine.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16.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za nabavu nefinancijske imovine (šifre 41+42+43+44+45)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2.510.658,37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1.663.118,04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66,2</w:t>
            </w:r>
          </w:p>
        </w:tc>
      </w:tr>
    </w:tbl>
    <w:p>
      <w:pPr>
        <w:spacing w:before="0" w:after="0"/>
      </w:pPr>
    </w:p>
    <w:p>
      <w:r>
        <w:t xml:space="preserve">Rashodi za nabavu nefinancijske imovne realizirani su u znatno manjem iznosu u odnosu na isto izvještajno razdoblje prethodne godine. Razlog tome su nerealizirani prihodi od prodaje nefinancijske imovine kao i činjenica da je Grad u prva tri mjeseca 2025 godine bio pod privremenim financiranjem i nije smio na sebe preuzimati nove ugovore i obveze.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17.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Izdaci za financijsku imovinu i otplate zajmova (šifre 51+52+53+54+55)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48.776,48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48.655,72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99,8</w:t>
            </w:r>
          </w:p>
        </w:tc>
      </w:tr>
    </w:tbl>
    <w:p>
      <w:pPr>
        <w:spacing w:before="0" w:after="0"/>
      </w:pPr>
    </w:p>
    <w:p>
      <w:r>
        <w:t xml:space="preserve">Izdaci za financisjku imovinu i otplate zajmova su na istoj razini u odnosu na izvještajno razdoblje ptrehodne godine, a odnose se na kredit HBOR-a koji je Grad dobio za pomoć sufinanciranju ulične javne rasvjete. </w:t>
      </w:r>
    </w:p>
    <w:p/>
    <w:p>
      <w:pPr>
        <w:jc w:val="center"/>
        <w:pStyle w:val="Normal"/>
        <w:spacing w:line="240" w:lineRule="auto"/>
        <w:keepNext/>
      </w:pPr>
      <w:r>
        <w:rPr>
          <w:b/>
          <w:sz w:val="28"/>
          <w:rFonts w:ascii="Times New Roman" w:hAnsi="Times New Roman"/>
        </w:rPr>
        <w:t xml:space="preserve">Izvještaj o obvezama</w:t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18.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Iznos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/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Stanje dospjelih obveza na kraju izvještajnog razdoblja (šifre V008+D23+D24 + 'D dio 25,26' + D27)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V007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1.605.213,18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Stanje dospjelih obveza na kraju izvještajnog razdoblja iznose 1.605.213,18 eura te će se podmiriti u narednom razdoblju.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19.</w:t>
      </w:r>
    </w:p>
    <w:p>
      <w:pPr>
        <w:jc w:val="both"/>
        <w:pStyle w:val="Normal"/>
        <w:spacing w:line="240" w:lineRule="auto"/>
      </w:pPr>
      <w:r>
        <w:rPr>
          <w:b/>
          <w:sz w:val="24"/>
          <w:rFonts w:ascii="Times New Roman" w:hAnsi="Times New Roman"/>
        </w:rPr>
        <w:t xml:space="preserve">EU izvještaj</w:t>
      </w:r>
    </w:p>
    <w:p>
      <w:r>
        <w:t xml:space="preserve">Tijekom 2025. godine Grad Ploče je provodio nekoliko natječaja koji su bili sufinancirani iz EU. </w:t>
      </w:r>
    </w:p>
    <w:p>
      <w:r>
        <w:t xml:space="preserve">Jedan od projkata je Grad Ploče za bezbrižnu starost koji se financirao iz Europskog socijalnog foda plus putem kojeg su se financirale plaće djelatnica na projektu, promidžba i vidljivost te potrepštine za čišćenje i održavanje.</w:t>
      </w:r>
    </w:p>
    <w:p>
      <w:r>
        <w:t xml:space="preserve">Također provodio se i projekt ACTION koji se sufinanciran iz Europskog fonda za regionalni razvoj gdje su se u jednom dijelu sufinancirale i plaće djaletnika lokalne samouprave. </w:t>
      </w:r>
    </w:p>
    <w:p>
      <w:r>
        <w:t xml:space="preserve">Izgradnja nogometnog stadiona NK Gusar sufinanciran je iz Europskog poljoprivrednog fonda za ruralni razvoj koji je u 2025 godini bio u završnoj fazi. </w:t>
      </w:r>
    </w:p>
    <w:p>
      <w:r>
        <w:t xml:space="preserve">Na izvoru 581 Mehanizam za oporavak i otpornost-bespovratna sredstva bilježi se primitak sredstava od 26.562,50 eura za projket Strategija zelene urbane obnove Grada Ploča koji je ranije završio te su se sredstva naknadno potraživala. </w:t>
      </w:r>
    </w:p>
    <w:p>
      <w:r>
        <w:t xml:space="preserve">Također, Energetska obnova vatrogasnog doma sufinancirana je sa izvora 581- Mehanizam za orpornost i oporavak- bespovratna sredstva u iznosu od 55.939,61 eura.</w:t>
      </w:r>
    </w:p>
    <w:p/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</w:rPr>
    </w:rPrDefault>
  </w:docDefaults>
  <w:style w:type="paragraph" w:styleId="Normal" w:default="true">
    <w:name w:val="Normal"/>
    <w:rPr>
      <w:rFonts w:ascii="Times New Roman" w:hAnsi="Times New Roman"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791b6172590643bf" /></Relationships>
</file>