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AD32" w14:textId="77777777" w:rsidR="00C01A66" w:rsidRDefault="00C01A66" w:rsidP="00C01A66">
      <w:pPr>
        <w:jc w:val="center"/>
      </w:pPr>
    </w:p>
    <w:p w14:paraId="52E1FDFF" w14:textId="77777777" w:rsidR="00C01A66" w:rsidRDefault="00C01A66" w:rsidP="00C01A66">
      <w:pPr>
        <w:jc w:val="center"/>
      </w:pPr>
    </w:p>
    <w:p w14:paraId="3DA9987D" w14:textId="77777777" w:rsidR="00C01A66" w:rsidRDefault="00C01A66" w:rsidP="00C01A66">
      <w:pPr>
        <w:jc w:val="center"/>
      </w:pPr>
    </w:p>
    <w:p w14:paraId="63116E5B" w14:textId="42D9EEC3" w:rsidR="00C01A66" w:rsidRDefault="00C01A66" w:rsidP="00C01A66">
      <w:pPr>
        <w:jc w:val="center"/>
      </w:pPr>
      <w:r>
        <w:rPr>
          <w:noProof/>
        </w:rPr>
        <w:drawing>
          <wp:inline distT="0" distB="0" distL="0" distR="0" wp14:anchorId="1E2B6CAD" wp14:editId="2E77D01B">
            <wp:extent cx="1200150" cy="1200150"/>
            <wp:effectExtent l="0" t="0" r="0" b="0"/>
            <wp:docPr id="65790924" name="Slika 1" descr="Slika na kojoj se prikazuje simbol, emblem, grb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0924" name="Slika 1" descr="Slika na kojoj se prikazuje simbol, emblem, grb, logotip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201" cy="120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B94E" w14:textId="1AE59642" w:rsidR="00C01A66" w:rsidRDefault="00C01A66" w:rsidP="00C01A66">
      <w:pPr>
        <w:jc w:val="center"/>
      </w:pPr>
      <w:r>
        <w:t>GRAD PLOČE</w:t>
      </w:r>
    </w:p>
    <w:p w14:paraId="5702585D" w14:textId="77777777" w:rsidR="00C01A66" w:rsidRDefault="00C01A66" w:rsidP="00C01A66">
      <w:pPr>
        <w:jc w:val="center"/>
      </w:pPr>
    </w:p>
    <w:p w14:paraId="208DB3EC" w14:textId="77777777" w:rsidR="00C01A66" w:rsidRDefault="00C01A66" w:rsidP="00C01A66">
      <w:pPr>
        <w:jc w:val="center"/>
      </w:pPr>
    </w:p>
    <w:p w14:paraId="56BA9DEC" w14:textId="77777777" w:rsidR="00C01A66" w:rsidRDefault="00C01A66" w:rsidP="00C01A66">
      <w:pPr>
        <w:jc w:val="center"/>
      </w:pPr>
    </w:p>
    <w:p w14:paraId="251C9AA1" w14:textId="77777777" w:rsidR="00C01A66" w:rsidRDefault="00C01A66" w:rsidP="00C01A66">
      <w:pPr>
        <w:jc w:val="center"/>
      </w:pPr>
    </w:p>
    <w:p w14:paraId="17A3940A" w14:textId="5CE04966" w:rsidR="00C01A66" w:rsidRPr="00C01A66" w:rsidRDefault="00C01A66" w:rsidP="00C01A66">
      <w:pPr>
        <w:jc w:val="center"/>
        <w:rPr>
          <w:sz w:val="32"/>
          <w:szCs w:val="32"/>
        </w:rPr>
      </w:pPr>
      <w:r w:rsidRPr="00C01A66">
        <w:rPr>
          <w:sz w:val="32"/>
          <w:szCs w:val="32"/>
        </w:rPr>
        <w:t>OBRAZLOŽENJE OPĆEG I POSEBNOG DIJELA PRORAČUNA</w:t>
      </w:r>
    </w:p>
    <w:p w14:paraId="1A9FCBCC" w14:textId="77777777" w:rsidR="00C01A66" w:rsidRDefault="00C01A66" w:rsidP="00C01A66">
      <w:pPr>
        <w:jc w:val="center"/>
      </w:pPr>
    </w:p>
    <w:p w14:paraId="3CFB6E51" w14:textId="66985850" w:rsidR="00C01A66" w:rsidRPr="00C01A66" w:rsidRDefault="00C01A66" w:rsidP="00C01A66">
      <w:pPr>
        <w:jc w:val="center"/>
        <w:rPr>
          <w:sz w:val="28"/>
          <w:szCs w:val="28"/>
        </w:rPr>
      </w:pPr>
      <w:r w:rsidRPr="00C01A66">
        <w:rPr>
          <w:sz w:val="28"/>
          <w:szCs w:val="28"/>
        </w:rPr>
        <w:t>IZVJEŠTAJ O I</w:t>
      </w:r>
      <w:r w:rsidR="00392A19">
        <w:rPr>
          <w:sz w:val="28"/>
          <w:szCs w:val="28"/>
        </w:rPr>
        <w:t>Z</w:t>
      </w:r>
      <w:r w:rsidRPr="00C01A66">
        <w:rPr>
          <w:sz w:val="28"/>
          <w:szCs w:val="28"/>
        </w:rPr>
        <w:t xml:space="preserve">VRŠENJU PRORAČUNA </w:t>
      </w:r>
    </w:p>
    <w:p w14:paraId="7F12D4F5" w14:textId="1F209340" w:rsidR="00C01A66" w:rsidRDefault="00C01A66" w:rsidP="00C01A66">
      <w:pPr>
        <w:jc w:val="center"/>
        <w:rPr>
          <w:sz w:val="28"/>
          <w:szCs w:val="28"/>
        </w:rPr>
      </w:pPr>
      <w:r w:rsidRPr="00C01A66">
        <w:rPr>
          <w:sz w:val="28"/>
          <w:szCs w:val="28"/>
        </w:rPr>
        <w:t>za razdoblje od 01.01.2025-30.06.2025.godine</w:t>
      </w:r>
    </w:p>
    <w:p w14:paraId="2DB49A6C" w14:textId="77777777" w:rsidR="00C01A66" w:rsidRPr="00C01A66" w:rsidRDefault="00C01A66" w:rsidP="00C01A66">
      <w:pPr>
        <w:rPr>
          <w:sz w:val="28"/>
          <w:szCs w:val="28"/>
        </w:rPr>
      </w:pPr>
    </w:p>
    <w:p w14:paraId="610C699C" w14:textId="77777777" w:rsidR="00C01A66" w:rsidRPr="00C01A66" w:rsidRDefault="00C01A66" w:rsidP="00C01A66">
      <w:pPr>
        <w:rPr>
          <w:sz w:val="28"/>
          <w:szCs w:val="28"/>
        </w:rPr>
      </w:pPr>
    </w:p>
    <w:p w14:paraId="0CEF21D5" w14:textId="77777777" w:rsidR="00C01A66" w:rsidRPr="00C01A66" w:rsidRDefault="00C01A66" w:rsidP="00C01A66">
      <w:pPr>
        <w:rPr>
          <w:sz w:val="28"/>
          <w:szCs w:val="28"/>
        </w:rPr>
      </w:pPr>
    </w:p>
    <w:p w14:paraId="6C0BF132" w14:textId="77777777" w:rsidR="00C01A66" w:rsidRPr="00C01A66" w:rsidRDefault="00C01A66" w:rsidP="00C01A66">
      <w:pPr>
        <w:rPr>
          <w:sz w:val="28"/>
          <w:szCs w:val="28"/>
        </w:rPr>
      </w:pPr>
    </w:p>
    <w:p w14:paraId="6C8BE092" w14:textId="77777777" w:rsidR="00C01A66" w:rsidRPr="00C01A66" w:rsidRDefault="00C01A66" w:rsidP="00C01A66">
      <w:pPr>
        <w:rPr>
          <w:sz w:val="28"/>
          <w:szCs w:val="28"/>
        </w:rPr>
      </w:pPr>
    </w:p>
    <w:p w14:paraId="42D093E5" w14:textId="77777777" w:rsidR="00C01A66" w:rsidRPr="00C01A66" w:rsidRDefault="00C01A66" w:rsidP="00C01A66">
      <w:pPr>
        <w:rPr>
          <w:sz w:val="28"/>
          <w:szCs w:val="28"/>
        </w:rPr>
      </w:pPr>
    </w:p>
    <w:p w14:paraId="1878CA21" w14:textId="77777777" w:rsidR="00C01A66" w:rsidRPr="00C01A66" w:rsidRDefault="00C01A66" w:rsidP="00C01A66">
      <w:pPr>
        <w:rPr>
          <w:sz w:val="28"/>
          <w:szCs w:val="28"/>
        </w:rPr>
      </w:pPr>
    </w:p>
    <w:p w14:paraId="283D9A92" w14:textId="77777777" w:rsidR="00C01A66" w:rsidRPr="00C01A66" w:rsidRDefault="00C01A66" w:rsidP="00C01A66">
      <w:pPr>
        <w:rPr>
          <w:sz w:val="28"/>
          <w:szCs w:val="28"/>
        </w:rPr>
      </w:pPr>
    </w:p>
    <w:p w14:paraId="12CC3B36" w14:textId="77777777" w:rsidR="00C01A66" w:rsidRDefault="00C01A66" w:rsidP="00C01A66">
      <w:pPr>
        <w:rPr>
          <w:sz w:val="28"/>
          <w:szCs w:val="28"/>
        </w:rPr>
      </w:pPr>
    </w:p>
    <w:p w14:paraId="1A8C0FA5" w14:textId="15A58B5F" w:rsidR="00C01A66" w:rsidRDefault="00C01A66" w:rsidP="00C01A66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Ploče, kolovoz 2025.</w:t>
      </w:r>
    </w:p>
    <w:p w14:paraId="1503E77E" w14:textId="172C9B2A" w:rsidR="00C01A66" w:rsidRDefault="00C01A66" w:rsidP="00AB597B">
      <w:pPr>
        <w:spacing w:line="360" w:lineRule="auto"/>
        <w:ind w:firstLine="708"/>
        <w:rPr>
          <w:b/>
          <w:bCs/>
          <w:i/>
          <w:iCs/>
          <w:u w:val="single"/>
        </w:rPr>
      </w:pPr>
      <w:r w:rsidRPr="00C01A66">
        <w:rPr>
          <w:b/>
          <w:bCs/>
          <w:i/>
          <w:iCs/>
        </w:rPr>
        <w:lastRenderedPageBreak/>
        <w:t xml:space="preserve"> ZAKONSKI OKVIR</w:t>
      </w:r>
    </w:p>
    <w:p w14:paraId="51D48977" w14:textId="77777777" w:rsidR="00C01A66" w:rsidRDefault="00C01A66" w:rsidP="00AB597B">
      <w:pPr>
        <w:spacing w:line="360" w:lineRule="auto"/>
        <w:rPr>
          <w:b/>
          <w:bCs/>
          <w:i/>
          <w:iCs/>
          <w:u w:val="single"/>
        </w:rPr>
      </w:pPr>
    </w:p>
    <w:p w14:paraId="61AA7903" w14:textId="77777777" w:rsidR="00C01A66" w:rsidRDefault="00C01A66" w:rsidP="00AB597B">
      <w:pPr>
        <w:spacing w:line="360" w:lineRule="auto"/>
        <w:ind w:firstLine="708"/>
        <w:jc w:val="both"/>
      </w:pPr>
      <w:r>
        <w:t>Zakonom o proračunu («Narodne novine» broj 144/21) i Pravilnikom o polugodišnjem i godišnjem izvještavanju o izvršenju proračuna (”Narodne novine” broj 24/13, 102/17, 01/20, 147/20 i 85/23 ), propisana je obveza sastavljanja i podnošenja Godišnjeg i polugodišnjeg izvještaja o izvršenju proračuna tekuće proračunske godine na donošenje predstavničkom tijelu jedinice lokalne i područne (regionalne) samouprave.</w:t>
      </w:r>
    </w:p>
    <w:p w14:paraId="63F15FAC" w14:textId="321A51D4" w:rsidR="00C01A66" w:rsidRDefault="00C01A66" w:rsidP="00AB597B">
      <w:pPr>
        <w:spacing w:line="360" w:lineRule="auto"/>
        <w:ind w:firstLine="708"/>
        <w:jc w:val="both"/>
      </w:pPr>
      <w:r>
        <w:t>Sadržaj godišnjeg i polugodišnjeg izvještaja o izvršenju proračuna propisan je Zakonom o proračunu i članka 4. Pravilnika o polugodišnjem i godišnjem izvještaju o izvršenju proračuna.  Navedenim člancima utvrđeno je da polugodišnji izvještaj o izvršenju proračuna sadrži:</w:t>
      </w:r>
    </w:p>
    <w:p w14:paraId="3DF045CA" w14:textId="77777777" w:rsidR="00C01A66" w:rsidRDefault="00C01A66" w:rsidP="00AB597B">
      <w:pPr>
        <w:spacing w:line="360" w:lineRule="auto"/>
        <w:jc w:val="both"/>
      </w:pPr>
    </w:p>
    <w:p w14:paraId="45B23D56" w14:textId="77777777" w:rsidR="00C01A66" w:rsidRDefault="00C01A66" w:rsidP="00AB597B">
      <w:pPr>
        <w:spacing w:line="360" w:lineRule="auto"/>
        <w:jc w:val="both"/>
      </w:pPr>
      <w:r>
        <w:t>-</w:t>
      </w:r>
      <w:r>
        <w:tab/>
        <w:t>opći dio proračuna koji čini Račun prihoda i rashoda i Račun financiranja</w:t>
      </w:r>
    </w:p>
    <w:p w14:paraId="61E7D5BF" w14:textId="77777777" w:rsidR="00C01A66" w:rsidRDefault="00C01A66" w:rsidP="00AB597B">
      <w:pPr>
        <w:spacing w:line="360" w:lineRule="auto"/>
        <w:jc w:val="both"/>
      </w:pPr>
      <w:r>
        <w:t>-</w:t>
      </w:r>
      <w:r>
        <w:tab/>
        <w:t>posebni dio proračuna po organizacijskoj i programskoj klasifikaciji te razini odjeljka           ekonomske klasifikacije,</w:t>
      </w:r>
    </w:p>
    <w:p w14:paraId="15FFE17F" w14:textId="77777777" w:rsidR="00C01A66" w:rsidRDefault="00C01A66" w:rsidP="00AB597B">
      <w:pPr>
        <w:spacing w:line="360" w:lineRule="auto"/>
        <w:jc w:val="both"/>
      </w:pPr>
      <w:r>
        <w:t>-</w:t>
      </w:r>
      <w:r>
        <w:tab/>
        <w:t xml:space="preserve">izvještaj o zaduživanju na domaćem i stranom tržištu novca i kapitala, </w:t>
      </w:r>
    </w:p>
    <w:p w14:paraId="147A8833" w14:textId="77777777" w:rsidR="00C01A66" w:rsidRDefault="00C01A66" w:rsidP="00AB597B">
      <w:pPr>
        <w:spacing w:line="360" w:lineRule="auto"/>
        <w:jc w:val="both"/>
      </w:pPr>
      <w:r>
        <w:t>-</w:t>
      </w:r>
      <w:r>
        <w:tab/>
        <w:t>izvještaj o korištenju proračunske zalihe,</w:t>
      </w:r>
    </w:p>
    <w:p w14:paraId="3BC7D5CF" w14:textId="77777777" w:rsidR="00C01A66" w:rsidRDefault="00C01A66" w:rsidP="00AB597B">
      <w:pPr>
        <w:spacing w:line="360" w:lineRule="auto"/>
        <w:jc w:val="both"/>
      </w:pPr>
      <w:r>
        <w:t>-</w:t>
      </w:r>
      <w:r>
        <w:tab/>
        <w:t>izvještaj o danim jamstvima i izdacima po jamstvima,</w:t>
      </w:r>
    </w:p>
    <w:p w14:paraId="7C623266" w14:textId="77777777" w:rsidR="00C01A66" w:rsidRDefault="00C01A66" w:rsidP="00AB597B">
      <w:pPr>
        <w:spacing w:line="360" w:lineRule="auto"/>
        <w:jc w:val="both"/>
      </w:pPr>
      <w:r>
        <w:t>-</w:t>
      </w:r>
      <w:r>
        <w:tab/>
        <w:t>obrazloženje ostvarenja prihoda i primitaka, te rashoda i izdataka iz općeg dijela      proračuna,</w:t>
      </w:r>
    </w:p>
    <w:p w14:paraId="5E3468D7" w14:textId="77777777" w:rsidR="00C01A66" w:rsidRDefault="00C01A66" w:rsidP="00AB597B">
      <w:pPr>
        <w:spacing w:line="360" w:lineRule="auto"/>
        <w:jc w:val="both"/>
      </w:pPr>
      <w:r>
        <w:t>-</w:t>
      </w:r>
      <w:r>
        <w:tab/>
        <w:t>obrazloženje izvršenja programa iz posebnog dijela proračuna.</w:t>
      </w:r>
    </w:p>
    <w:p w14:paraId="6E1B83E7" w14:textId="77777777" w:rsidR="00C01A66" w:rsidRDefault="00C01A66" w:rsidP="00AB597B">
      <w:pPr>
        <w:spacing w:line="360" w:lineRule="auto"/>
        <w:jc w:val="both"/>
      </w:pPr>
    </w:p>
    <w:p w14:paraId="08B90AEA" w14:textId="77777777" w:rsidR="00C01A66" w:rsidRDefault="00C01A66" w:rsidP="00C01A66">
      <w:pPr>
        <w:jc w:val="both"/>
      </w:pPr>
    </w:p>
    <w:p w14:paraId="7BC1314C" w14:textId="77777777" w:rsidR="00C01A66" w:rsidRDefault="00C01A66" w:rsidP="00C01A66">
      <w:pPr>
        <w:jc w:val="both"/>
      </w:pPr>
    </w:p>
    <w:p w14:paraId="6B06DF35" w14:textId="77777777" w:rsidR="00C01A66" w:rsidRDefault="00C01A66" w:rsidP="00C01A66">
      <w:pPr>
        <w:jc w:val="both"/>
      </w:pPr>
    </w:p>
    <w:p w14:paraId="56B6DDB7" w14:textId="77777777" w:rsidR="00C01A66" w:rsidRDefault="00C01A66" w:rsidP="00C01A66">
      <w:pPr>
        <w:jc w:val="both"/>
      </w:pPr>
    </w:p>
    <w:p w14:paraId="7144BBA2" w14:textId="77777777" w:rsidR="00C01A66" w:rsidRDefault="00C01A66" w:rsidP="00C01A66">
      <w:pPr>
        <w:jc w:val="both"/>
      </w:pPr>
    </w:p>
    <w:p w14:paraId="10FD45CE" w14:textId="0C677962" w:rsidR="00C01A66" w:rsidRDefault="00C01A66" w:rsidP="00C01A66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C01A66">
        <w:rPr>
          <w:b/>
          <w:bCs/>
        </w:rPr>
        <w:t>PRIHODI</w:t>
      </w:r>
    </w:p>
    <w:p w14:paraId="174B7F6A" w14:textId="77777777" w:rsidR="00D302DC" w:rsidRPr="00D302DC" w:rsidRDefault="00D302DC" w:rsidP="00D302DC">
      <w:pPr>
        <w:jc w:val="both"/>
        <w:rPr>
          <w:b/>
          <w:bCs/>
        </w:rPr>
      </w:pPr>
    </w:p>
    <w:p w14:paraId="0DE57B2A" w14:textId="268A2384" w:rsidR="0047425B" w:rsidRPr="00D302DC" w:rsidRDefault="00D302DC" w:rsidP="0047425B">
      <w:pPr>
        <w:jc w:val="both"/>
      </w:pPr>
      <w:bookmarkStart w:id="0" w:name="_Hlk207371928"/>
      <w:r w:rsidRPr="00D302DC">
        <w:t xml:space="preserve">Prihodi Grada Ploča u izvještajnom razdoblju od 1.1.2025-30.6.2025 prikazani su u sljedećoj tablici: </w:t>
      </w:r>
    </w:p>
    <w:p w14:paraId="26F38F8B" w14:textId="77777777" w:rsidR="00D302DC" w:rsidRDefault="00D302DC" w:rsidP="0047425B">
      <w:pPr>
        <w:jc w:val="both"/>
        <w:rPr>
          <w:b/>
          <w:bCs/>
        </w:rPr>
      </w:pPr>
    </w:p>
    <w:p w14:paraId="39FB5810" w14:textId="671B782B" w:rsidR="00D302DC" w:rsidRDefault="00D302DC" w:rsidP="0047425B">
      <w:pPr>
        <w:jc w:val="both"/>
        <w:rPr>
          <w:b/>
          <w:bCs/>
        </w:rPr>
      </w:pPr>
      <w:r>
        <w:rPr>
          <w:b/>
          <w:bCs/>
        </w:rPr>
        <w:t>Tablica 1.</w:t>
      </w:r>
    </w:p>
    <w:tbl>
      <w:tblPr>
        <w:tblStyle w:val="Reetkatablice"/>
        <w:tblW w:w="9858" w:type="dxa"/>
        <w:tblLook w:val="04A0" w:firstRow="1" w:lastRow="0" w:firstColumn="1" w:lastColumn="0" w:noHBand="0" w:noVBand="1"/>
      </w:tblPr>
      <w:tblGrid>
        <w:gridCol w:w="3726"/>
        <w:gridCol w:w="1472"/>
        <w:gridCol w:w="1472"/>
        <w:gridCol w:w="1472"/>
        <w:gridCol w:w="1055"/>
        <w:gridCol w:w="938"/>
      </w:tblGrid>
      <w:tr w:rsidR="00D83E82" w:rsidRPr="00C91342" w14:paraId="602EE696" w14:textId="77777777" w:rsidTr="00D302DC">
        <w:trPr>
          <w:trHeight w:val="353"/>
        </w:trPr>
        <w:tc>
          <w:tcPr>
            <w:tcW w:w="3726" w:type="dxa"/>
            <w:noWrap/>
            <w:hideMark/>
          </w:tcPr>
          <w:bookmarkEnd w:id="0"/>
          <w:p w14:paraId="3BF4CE9E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Račun / opis</w:t>
            </w:r>
          </w:p>
        </w:tc>
        <w:tc>
          <w:tcPr>
            <w:tcW w:w="1394" w:type="dxa"/>
            <w:noWrap/>
            <w:hideMark/>
          </w:tcPr>
          <w:p w14:paraId="39A7645B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1465" w:type="dxa"/>
            <w:noWrap/>
            <w:hideMark/>
          </w:tcPr>
          <w:p w14:paraId="65C1D28B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1394" w:type="dxa"/>
            <w:noWrap/>
            <w:hideMark/>
          </w:tcPr>
          <w:p w14:paraId="57B71661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991" w:type="dxa"/>
            <w:noWrap/>
            <w:hideMark/>
          </w:tcPr>
          <w:p w14:paraId="25E2790E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Indeks  3/1</w:t>
            </w:r>
          </w:p>
        </w:tc>
        <w:tc>
          <w:tcPr>
            <w:tcW w:w="888" w:type="dxa"/>
            <w:noWrap/>
            <w:hideMark/>
          </w:tcPr>
          <w:p w14:paraId="7C4AE48D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Indeks  3/2</w:t>
            </w:r>
          </w:p>
        </w:tc>
      </w:tr>
      <w:tr w:rsidR="00D83E82" w:rsidRPr="00C91342" w14:paraId="4880220D" w14:textId="77777777" w:rsidTr="00D302DC">
        <w:trPr>
          <w:trHeight w:val="353"/>
        </w:trPr>
        <w:tc>
          <w:tcPr>
            <w:tcW w:w="3726" w:type="dxa"/>
            <w:noWrap/>
            <w:hideMark/>
          </w:tcPr>
          <w:p w14:paraId="025101F4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394" w:type="dxa"/>
            <w:noWrap/>
            <w:hideMark/>
          </w:tcPr>
          <w:p w14:paraId="78C4B1F9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noWrap/>
            <w:hideMark/>
          </w:tcPr>
          <w:p w14:paraId="2CEC907A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4" w:type="dxa"/>
            <w:noWrap/>
            <w:hideMark/>
          </w:tcPr>
          <w:p w14:paraId="0A6F5BD6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1" w:type="dxa"/>
            <w:noWrap/>
            <w:hideMark/>
          </w:tcPr>
          <w:p w14:paraId="6D22C71A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88" w:type="dxa"/>
            <w:noWrap/>
            <w:hideMark/>
          </w:tcPr>
          <w:p w14:paraId="6A3D30A5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83E82" w:rsidRPr="00C91342" w14:paraId="34F8F11E" w14:textId="77777777" w:rsidTr="00D302DC">
        <w:trPr>
          <w:trHeight w:val="353"/>
        </w:trPr>
        <w:tc>
          <w:tcPr>
            <w:tcW w:w="3726" w:type="dxa"/>
            <w:noWrap/>
            <w:hideMark/>
          </w:tcPr>
          <w:p w14:paraId="76A72D14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6 Prihodi poslovanja</w:t>
            </w:r>
          </w:p>
        </w:tc>
        <w:tc>
          <w:tcPr>
            <w:tcW w:w="1394" w:type="dxa"/>
            <w:noWrap/>
            <w:hideMark/>
          </w:tcPr>
          <w:p w14:paraId="067948BD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3.262.762,24</w:t>
            </w:r>
          </w:p>
        </w:tc>
        <w:tc>
          <w:tcPr>
            <w:tcW w:w="1465" w:type="dxa"/>
            <w:noWrap/>
            <w:hideMark/>
          </w:tcPr>
          <w:p w14:paraId="75E8207F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12.619.776,45</w:t>
            </w:r>
          </w:p>
        </w:tc>
        <w:tc>
          <w:tcPr>
            <w:tcW w:w="1394" w:type="dxa"/>
            <w:noWrap/>
            <w:hideMark/>
          </w:tcPr>
          <w:p w14:paraId="65339DEC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4.463.374,53</w:t>
            </w:r>
          </w:p>
        </w:tc>
        <w:tc>
          <w:tcPr>
            <w:tcW w:w="991" w:type="dxa"/>
            <w:noWrap/>
            <w:hideMark/>
          </w:tcPr>
          <w:p w14:paraId="083E5542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136,80%</w:t>
            </w:r>
          </w:p>
        </w:tc>
        <w:tc>
          <w:tcPr>
            <w:tcW w:w="888" w:type="dxa"/>
            <w:noWrap/>
            <w:hideMark/>
          </w:tcPr>
          <w:p w14:paraId="5A597561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35,37%</w:t>
            </w:r>
          </w:p>
        </w:tc>
      </w:tr>
      <w:tr w:rsidR="00D83E82" w:rsidRPr="00C91342" w14:paraId="31ADE181" w14:textId="77777777" w:rsidTr="00D302DC">
        <w:trPr>
          <w:trHeight w:val="353"/>
        </w:trPr>
        <w:tc>
          <w:tcPr>
            <w:tcW w:w="3726" w:type="dxa"/>
            <w:noWrap/>
            <w:hideMark/>
          </w:tcPr>
          <w:p w14:paraId="4D46CE6F" w14:textId="77777777" w:rsidR="00D83E82" w:rsidRPr="00C91342" w:rsidRDefault="00D83E82" w:rsidP="00D83E82">
            <w:pPr>
              <w:jc w:val="both"/>
              <w:rPr>
                <w:b/>
                <w:bCs/>
                <w:sz w:val="22"/>
                <w:szCs w:val="22"/>
              </w:rPr>
            </w:pPr>
            <w:r w:rsidRPr="00C91342">
              <w:rPr>
                <w:b/>
                <w:bCs/>
                <w:sz w:val="22"/>
                <w:szCs w:val="22"/>
              </w:rPr>
              <w:t>61 Prihodi od poreza</w:t>
            </w:r>
          </w:p>
        </w:tc>
        <w:tc>
          <w:tcPr>
            <w:tcW w:w="1394" w:type="dxa"/>
            <w:noWrap/>
            <w:hideMark/>
          </w:tcPr>
          <w:p w14:paraId="306A5D8E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1.447.807,30</w:t>
            </w:r>
          </w:p>
        </w:tc>
        <w:tc>
          <w:tcPr>
            <w:tcW w:w="1465" w:type="dxa"/>
            <w:noWrap/>
            <w:hideMark/>
          </w:tcPr>
          <w:p w14:paraId="7B93D345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4.489.036,72</w:t>
            </w:r>
          </w:p>
        </w:tc>
        <w:tc>
          <w:tcPr>
            <w:tcW w:w="1394" w:type="dxa"/>
            <w:noWrap/>
            <w:hideMark/>
          </w:tcPr>
          <w:p w14:paraId="711CF13B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1.586.426,22</w:t>
            </w:r>
          </w:p>
        </w:tc>
        <w:tc>
          <w:tcPr>
            <w:tcW w:w="991" w:type="dxa"/>
            <w:noWrap/>
            <w:hideMark/>
          </w:tcPr>
          <w:p w14:paraId="7E5F4550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109,57%</w:t>
            </w:r>
          </w:p>
        </w:tc>
        <w:tc>
          <w:tcPr>
            <w:tcW w:w="888" w:type="dxa"/>
            <w:noWrap/>
            <w:hideMark/>
          </w:tcPr>
          <w:p w14:paraId="27F30906" w14:textId="77777777" w:rsidR="00D83E82" w:rsidRPr="00C91342" w:rsidRDefault="00D83E82" w:rsidP="00D83E82">
            <w:pPr>
              <w:jc w:val="both"/>
              <w:rPr>
                <w:b/>
                <w:bCs/>
                <w:sz w:val="20"/>
                <w:szCs w:val="20"/>
              </w:rPr>
            </w:pPr>
            <w:r w:rsidRPr="00C91342">
              <w:rPr>
                <w:b/>
                <w:bCs/>
                <w:sz w:val="20"/>
                <w:szCs w:val="20"/>
              </w:rPr>
              <w:t>35,34%</w:t>
            </w:r>
          </w:p>
        </w:tc>
      </w:tr>
      <w:tr w:rsidR="00D83E82" w:rsidRPr="00C91342" w14:paraId="0B2772E0" w14:textId="77777777" w:rsidTr="00D302DC">
        <w:trPr>
          <w:trHeight w:val="300"/>
        </w:trPr>
        <w:tc>
          <w:tcPr>
            <w:tcW w:w="3726" w:type="dxa"/>
            <w:noWrap/>
            <w:hideMark/>
          </w:tcPr>
          <w:p w14:paraId="334B315D" w14:textId="77777777" w:rsidR="00D83E82" w:rsidRPr="00C91342" w:rsidRDefault="00D83E82" w:rsidP="00D83E82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394" w:type="dxa"/>
            <w:noWrap/>
            <w:hideMark/>
          </w:tcPr>
          <w:p w14:paraId="66B193A0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1.000.622,11</w:t>
            </w:r>
          </w:p>
        </w:tc>
        <w:tc>
          <w:tcPr>
            <w:tcW w:w="1465" w:type="dxa"/>
            <w:noWrap/>
            <w:hideMark/>
          </w:tcPr>
          <w:p w14:paraId="45794EF8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4.192.846,96</w:t>
            </w:r>
          </w:p>
        </w:tc>
        <w:tc>
          <w:tcPr>
            <w:tcW w:w="1394" w:type="dxa"/>
            <w:noWrap/>
            <w:hideMark/>
          </w:tcPr>
          <w:p w14:paraId="59D764DF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1.475.667,30</w:t>
            </w:r>
          </w:p>
        </w:tc>
        <w:tc>
          <w:tcPr>
            <w:tcW w:w="991" w:type="dxa"/>
            <w:noWrap/>
            <w:hideMark/>
          </w:tcPr>
          <w:p w14:paraId="3745A49E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147,47%</w:t>
            </w:r>
          </w:p>
        </w:tc>
        <w:tc>
          <w:tcPr>
            <w:tcW w:w="888" w:type="dxa"/>
            <w:noWrap/>
            <w:hideMark/>
          </w:tcPr>
          <w:p w14:paraId="05C90091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35,19%</w:t>
            </w:r>
          </w:p>
        </w:tc>
      </w:tr>
      <w:tr w:rsidR="00D83E82" w:rsidRPr="00C91342" w14:paraId="0D4DCED1" w14:textId="77777777" w:rsidTr="00D302DC">
        <w:trPr>
          <w:trHeight w:val="300"/>
        </w:trPr>
        <w:tc>
          <w:tcPr>
            <w:tcW w:w="3726" w:type="dxa"/>
            <w:noWrap/>
            <w:hideMark/>
          </w:tcPr>
          <w:p w14:paraId="232DBAF5" w14:textId="77777777" w:rsidR="00D83E82" w:rsidRPr="00C91342" w:rsidRDefault="00D83E82" w:rsidP="00D83E82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64 Prihodi od imovine</w:t>
            </w:r>
          </w:p>
        </w:tc>
        <w:tc>
          <w:tcPr>
            <w:tcW w:w="1394" w:type="dxa"/>
            <w:noWrap/>
            <w:hideMark/>
          </w:tcPr>
          <w:p w14:paraId="2C6A1715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39.256,47</w:t>
            </w:r>
          </w:p>
        </w:tc>
        <w:tc>
          <w:tcPr>
            <w:tcW w:w="1465" w:type="dxa"/>
            <w:noWrap/>
            <w:hideMark/>
          </w:tcPr>
          <w:p w14:paraId="7D043E71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287.345,00</w:t>
            </w:r>
          </w:p>
        </w:tc>
        <w:tc>
          <w:tcPr>
            <w:tcW w:w="1394" w:type="dxa"/>
            <w:noWrap/>
            <w:hideMark/>
          </w:tcPr>
          <w:p w14:paraId="26DC6FA3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56.911,30</w:t>
            </w:r>
          </w:p>
        </w:tc>
        <w:tc>
          <w:tcPr>
            <w:tcW w:w="991" w:type="dxa"/>
            <w:noWrap/>
            <w:hideMark/>
          </w:tcPr>
          <w:p w14:paraId="71B379FB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144,97%</w:t>
            </w:r>
          </w:p>
        </w:tc>
        <w:tc>
          <w:tcPr>
            <w:tcW w:w="888" w:type="dxa"/>
            <w:noWrap/>
            <w:hideMark/>
          </w:tcPr>
          <w:p w14:paraId="0D5B941D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19,81%</w:t>
            </w:r>
          </w:p>
        </w:tc>
      </w:tr>
      <w:tr w:rsidR="00D83E82" w:rsidRPr="00C91342" w14:paraId="0958F7DF" w14:textId="77777777" w:rsidTr="00D302DC">
        <w:trPr>
          <w:trHeight w:val="300"/>
        </w:trPr>
        <w:tc>
          <w:tcPr>
            <w:tcW w:w="3726" w:type="dxa"/>
            <w:noWrap/>
            <w:hideMark/>
          </w:tcPr>
          <w:p w14:paraId="71DE4C29" w14:textId="77777777" w:rsidR="00D83E82" w:rsidRPr="00C91342" w:rsidRDefault="00D83E82" w:rsidP="00D83E82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394" w:type="dxa"/>
            <w:noWrap/>
            <w:hideMark/>
          </w:tcPr>
          <w:p w14:paraId="781CC584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717.804,62</w:t>
            </w:r>
          </w:p>
        </w:tc>
        <w:tc>
          <w:tcPr>
            <w:tcW w:w="1465" w:type="dxa"/>
            <w:noWrap/>
            <w:hideMark/>
          </w:tcPr>
          <w:p w14:paraId="02D24647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3.413.857,77</w:t>
            </w:r>
          </w:p>
        </w:tc>
        <w:tc>
          <w:tcPr>
            <w:tcW w:w="1394" w:type="dxa"/>
            <w:noWrap/>
            <w:hideMark/>
          </w:tcPr>
          <w:p w14:paraId="57DEC5DE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1.180.326,13</w:t>
            </w:r>
          </w:p>
        </w:tc>
        <w:tc>
          <w:tcPr>
            <w:tcW w:w="991" w:type="dxa"/>
            <w:noWrap/>
            <w:hideMark/>
          </w:tcPr>
          <w:p w14:paraId="1859B8B5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164,44%</w:t>
            </w:r>
          </w:p>
        </w:tc>
        <w:tc>
          <w:tcPr>
            <w:tcW w:w="888" w:type="dxa"/>
            <w:noWrap/>
            <w:hideMark/>
          </w:tcPr>
          <w:p w14:paraId="450FC72E" w14:textId="77777777" w:rsidR="00D83E82" w:rsidRPr="00C91342" w:rsidRDefault="00D83E82" w:rsidP="00D83E82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34,57%</w:t>
            </w:r>
          </w:p>
        </w:tc>
      </w:tr>
      <w:tr w:rsidR="00D302DC" w:rsidRPr="00C91342" w14:paraId="572DEB02" w14:textId="77777777" w:rsidTr="00D302DC">
        <w:trPr>
          <w:trHeight w:val="300"/>
        </w:trPr>
        <w:tc>
          <w:tcPr>
            <w:tcW w:w="3726" w:type="dxa"/>
            <w:noWrap/>
            <w:hideMark/>
          </w:tcPr>
          <w:p w14:paraId="64EB7814" w14:textId="77777777" w:rsidR="00D302DC" w:rsidRPr="00C91342" w:rsidRDefault="00D302DC" w:rsidP="00D302DC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394" w:type="dxa"/>
            <w:noWrap/>
            <w:hideMark/>
          </w:tcPr>
          <w:p w14:paraId="386A73BB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53.530,64</w:t>
            </w:r>
          </w:p>
        </w:tc>
        <w:tc>
          <w:tcPr>
            <w:tcW w:w="1465" w:type="dxa"/>
            <w:noWrap/>
            <w:hideMark/>
          </w:tcPr>
          <w:p w14:paraId="66E69CF4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206.190,00</w:t>
            </w:r>
          </w:p>
        </w:tc>
        <w:tc>
          <w:tcPr>
            <w:tcW w:w="1394" w:type="dxa"/>
            <w:noWrap/>
            <w:hideMark/>
          </w:tcPr>
          <w:p w14:paraId="38203C8B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159.484,80</w:t>
            </w:r>
          </w:p>
        </w:tc>
        <w:tc>
          <w:tcPr>
            <w:tcW w:w="991" w:type="dxa"/>
            <w:noWrap/>
            <w:hideMark/>
          </w:tcPr>
          <w:p w14:paraId="47BF7CA8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297,93%</w:t>
            </w:r>
          </w:p>
        </w:tc>
        <w:tc>
          <w:tcPr>
            <w:tcW w:w="888" w:type="dxa"/>
            <w:noWrap/>
            <w:hideMark/>
          </w:tcPr>
          <w:p w14:paraId="181E22E8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77,35%</w:t>
            </w:r>
          </w:p>
        </w:tc>
      </w:tr>
      <w:tr w:rsidR="00D302DC" w:rsidRPr="00C91342" w14:paraId="34AE20AF" w14:textId="77777777" w:rsidTr="00D302DC">
        <w:trPr>
          <w:trHeight w:val="300"/>
        </w:trPr>
        <w:tc>
          <w:tcPr>
            <w:tcW w:w="3726" w:type="dxa"/>
            <w:noWrap/>
            <w:hideMark/>
          </w:tcPr>
          <w:p w14:paraId="0FB434F3" w14:textId="77777777" w:rsidR="00D302DC" w:rsidRPr="00C91342" w:rsidRDefault="00D302DC" w:rsidP="00D302DC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394" w:type="dxa"/>
            <w:noWrap/>
            <w:hideMark/>
          </w:tcPr>
          <w:p w14:paraId="0F601A68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3.741,10</w:t>
            </w:r>
          </w:p>
        </w:tc>
        <w:tc>
          <w:tcPr>
            <w:tcW w:w="1465" w:type="dxa"/>
            <w:noWrap/>
            <w:hideMark/>
          </w:tcPr>
          <w:p w14:paraId="74E1D03C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30.500,00</w:t>
            </w:r>
          </w:p>
        </w:tc>
        <w:tc>
          <w:tcPr>
            <w:tcW w:w="1394" w:type="dxa"/>
            <w:noWrap/>
            <w:hideMark/>
          </w:tcPr>
          <w:p w14:paraId="15FE8071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4.558,78</w:t>
            </w:r>
          </w:p>
        </w:tc>
        <w:tc>
          <w:tcPr>
            <w:tcW w:w="991" w:type="dxa"/>
            <w:noWrap/>
            <w:hideMark/>
          </w:tcPr>
          <w:p w14:paraId="5F921F3A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121,86%</w:t>
            </w:r>
          </w:p>
        </w:tc>
        <w:tc>
          <w:tcPr>
            <w:tcW w:w="888" w:type="dxa"/>
            <w:noWrap/>
            <w:hideMark/>
          </w:tcPr>
          <w:p w14:paraId="03C4EC69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14,95%</w:t>
            </w:r>
          </w:p>
        </w:tc>
      </w:tr>
      <w:tr w:rsidR="00D302DC" w:rsidRPr="00C91342" w14:paraId="5478A3AC" w14:textId="77777777" w:rsidTr="00D302DC">
        <w:trPr>
          <w:trHeight w:val="300"/>
        </w:trPr>
        <w:tc>
          <w:tcPr>
            <w:tcW w:w="3726" w:type="dxa"/>
            <w:noWrap/>
            <w:hideMark/>
          </w:tcPr>
          <w:p w14:paraId="7102C16F" w14:textId="77777777" w:rsidR="00D302DC" w:rsidRPr="00C91342" w:rsidRDefault="00D302DC" w:rsidP="00D302DC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94" w:type="dxa"/>
            <w:noWrap/>
            <w:hideMark/>
          </w:tcPr>
          <w:p w14:paraId="11C3B830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1.369.614,25</w:t>
            </w:r>
          </w:p>
        </w:tc>
        <w:tc>
          <w:tcPr>
            <w:tcW w:w="1465" w:type="dxa"/>
            <w:noWrap/>
            <w:hideMark/>
          </w:tcPr>
          <w:p w14:paraId="1C7DBC77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2.611.850,00</w:t>
            </w:r>
          </w:p>
        </w:tc>
        <w:tc>
          <w:tcPr>
            <w:tcW w:w="1394" w:type="dxa"/>
            <w:noWrap/>
            <w:hideMark/>
          </w:tcPr>
          <w:p w14:paraId="1EB3EF75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12.988,56</w:t>
            </w:r>
          </w:p>
        </w:tc>
        <w:tc>
          <w:tcPr>
            <w:tcW w:w="991" w:type="dxa"/>
            <w:noWrap/>
            <w:hideMark/>
          </w:tcPr>
          <w:p w14:paraId="77F62741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0,95%</w:t>
            </w:r>
          </w:p>
        </w:tc>
        <w:tc>
          <w:tcPr>
            <w:tcW w:w="888" w:type="dxa"/>
            <w:noWrap/>
            <w:hideMark/>
          </w:tcPr>
          <w:p w14:paraId="394CDAF4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0,50%</w:t>
            </w:r>
          </w:p>
        </w:tc>
      </w:tr>
      <w:tr w:rsidR="00D302DC" w:rsidRPr="00C91342" w14:paraId="0EAD7CD9" w14:textId="77777777" w:rsidTr="00D302DC">
        <w:trPr>
          <w:trHeight w:val="300"/>
        </w:trPr>
        <w:tc>
          <w:tcPr>
            <w:tcW w:w="3726" w:type="dxa"/>
            <w:noWrap/>
            <w:hideMark/>
          </w:tcPr>
          <w:p w14:paraId="539D3743" w14:textId="77777777" w:rsidR="00D302DC" w:rsidRPr="00C91342" w:rsidRDefault="00D302DC" w:rsidP="00D302DC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neproizvedene</w:t>
            </w:r>
            <w:proofErr w:type="spellEnd"/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94" w:type="dxa"/>
            <w:noWrap/>
            <w:hideMark/>
          </w:tcPr>
          <w:p w14:paraId="515DF3DC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1.358.984,50</w:t>
            </w:r>
          </w:p>
        </w:tc>
        <w:tc>
          <w:tcPr>
            <w:tcW w:w="1465" w:type="dxa"/>
            <w:noWrap/>
            <w:hideMark/>
          </w:tcPr>
          <w:p w14:paraId="1C6115B1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2.557.600,00</w:t>
            </w:r>
          </w:p>
        </w:tc>
        <w:tc>
          <w:tcPr>
            <w:tcW w:w="1394" w:type="dxa"/>
            <w:noWrap/>
            <w:hideMark/>
          </w:tcPr>
          <w:p w14:paraId="5389E7D0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2.094,08</w:t>
            </w:r>
          </w:p>
        </w:tc>
        <w:tc>
          <w:tcPr>
            <w:tcW w:w="991" w:type="dxa"/>
            <w:noWrap/>
            <w:hideMark/>
          </w:tcPr>
          <w:p w14:paraId="6C8EFF76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0,15%</w:t>
            </w:r>
          </w:p>
        </w:tc>
        <w:tc>
          <w:tcPr>
            <w:tcW w:w="888" w:type="dxa"/>
            <w:noWrap/>
            <w:hideMark/>
          </w:tcPr>
          <w:p w14:paraId="44EB3718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0,08%</w:t>
            </w:r>
          </w:p>
        </w:tc>
      </w:tr>
      <w:tr w:rsidR="00D302DC" w:rsidRPr="00C91342" w14:paraId="3BEA391E" w14:textId="77777777" w:rsidTr="00D302DC">
        <w:trPr>
          <w:trHeight w:val="300"/>
        </w:trPr>
        <w:tc>
          <w:tcPr>
            <w:tcW w:w="3726" w:type="dxa"/>
            <w:noWrap/>
            <w:hideMark/>
          </w:tcPr>
          <w:p w14:paraId="5DADB90D" w14:textId="77777777" w:rsidR="00D302DC" w:rsidRPr="00C91342" w:rsidRDefault="00D302DC" w:rsidP="00D302DC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394" w:type="dxa"/>
            <w:noWrap/>
            <w:hideMark/>
          </w:tcPr>
          <w:p w14:paraId="6CA11CFC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10.629,75</w:t>
            </w:r>
          </w:p>
        </w:tc>
        <w:tc>
          <w:tcPr>
            <w:tcW w:w="1465" w:type="dxa"/>
            <w:noWrap/>
            <w:hideMark/>
          </w:tcPr>
          <w:p w14:paraId="7BE1D3A6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54.250,00</w:t>
            </w:r>
          </w:p>
        </w:tc>
        <w:tc>
          <w:tcPr>
            <w:tcW w:w="1394" w:type="dxa"/>
            <w:noWrap/>
            <w:hideMark/>
          </w:tcPr>
          <w:p w14:paraId="21817AEC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10.894,48</w:t>
            </w:r>
          </w:p>
        </w:tc>
        <w:tc>
          <w:tcPr>
            <w:tcW w:w="991" w:type="dxa"/>
            <w:noWrap/>
            <w:hideMark/>
          </w:tcPr>
          <w:p w14:paraId="7F556DB2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102,49%</w:t>
            </w:r>
          </w:p>
        </w:tc>
        <w:tc>
          <w:tcPr>
            <w:tcW w:w="888" w:type="dxa"/>
            <w:noWrap/>
            <w:hideMark/>
          </w:tcPr>
          <w:p w14:paraId="0B5E4E30" w14:textId="77777777" w:rsidR="00D302DC" w:rsidRPr="00C91342" w:rsidRDefault="00D302DC" w:rsidP="00D302DC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9134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20,08%</w:t>
            </w:r>
          </w:p>
        </w:tc>
      </w:tr>
    </w:tbl>
    <w:p w14:paraId="3BAD9BD9" w14:textId="77777777" w:rsidR="00D83E82" w:rsidRDefault="00D83E82" w:rsidP="0047425B">
      <w:pPr>
        <w:jc w:val="both"/>
        <w:rPr>
          <w:b/>
          <w:bCs/>
        </w:rPr>
      </w:pPr>
    </w:p>
    <w:p w14:paraId="64076542" w14:textId="64DED9A2" w:rsidR="00D302DC" w:rsidRDefault="00D302DC" w:rsidP="0047425B">
      <w:pPr>
        <w:jc w:val="both"/>
        <w:rPr>
          <w:b/>
          <w:bCs/>
        </w:rPr>
      </w:pPr>
      <w:r>
        <w:rPr>
          <w:b/>
          <w:bCs/>
        </w:rPr>
        <w:t>I.I. IZVRŠENJE PRIHODA OD 1.1.2025-30.6.2025. U ODNOSU NA IZVRŠENJE 1.1.2024-30.6.2024.</w:t>
      </w:r>
    </w:p>
    <w:p w14:paraId="54E23347" w14:textId="77777777" w:rsidR="00D302DC" w:rsidRDefault="00D302DC" w:rsidP="00AB597B">
      <w:pPr>
        <w:spacing w:line="360" w:lineRule="auto"/>
        <w:jc w:val="both"/>
        <w:rPr>
          <w:b/>
          <w:bCs/>
        </w:rPr>
      </w:pPr>
    </w:p>
    <w:p w14:paraId="3F1DAE30" w14:textId="5001D72F" w:rsidR="0047425B" w:rsidRDefault="0047425B" w:rsidP="00AB597B">
      <w:pPr>
        <w:spacing w:line="360" w:lineRule="auto"/>
        <w:jc w:val="both"/>
      </w:pPr>
      <w:r>
        <w:t>Ukupni prohodi i primici u izvještajnom razdoblju 2025.godine iznose 4 476 363,09eura što je na razini izvještajnog razdoblja prethodne godine (Indeks 96,63%). Međutim struktura samih prihoda i primitaka u izvještajnom razdoblju 2025. godine nešto je drugačija od izvještajnog razdoblja prethodne godine.  Prihodi od poreza bilježe blagi porast (Indeks 109,57</w:t>
      </w:r>
      <w:r w:rsidR="0041162B">
        <w:t>%</w:t>
      </w:r>
      <w:r>
        <w:t>) od kojih se najviše izdvajaju porezi na dohodak, dok po</w:t>
      </w:r>
      <w:r w:rsidR="00CD754E">
        <w:t xml:space="preserve">rezi na </w:t>
      </w:r>
      <w:r w:rsidR="00CD754E">
        <w:lastRenderedPageBreak/>
        <w:t>imovinu bilježe pad (Indeks 62,91</w:t>
      </w:r>
      <w:r w:rsidR="0041162B">
        <w:t>%</w:t>
      </w:r>
      <w:r w:rsidR="00CD754E">
        <w:t xml:space="preserve">) zbog smanjene kupnje nekretnina na području Grada. </w:t>
      </w:r>
    </w:p>
    <w:p w14:paraId="1FAA843A" w14:textId="71A90B99" w:rsidR="00CD754E" w:rsidRDefault="00CD754E" w:rsidP="00AB597B">
      <w:pPr>
        <w:spacing w:line="360" w:lineRule="auto"/>
        <w:jc w:val="both"/>
      </w:pPr>
      <w:r>
        <w:t>U izvještajnom razdoblju 2025. bilježi se porast Pomoći iz inozemstva i od subjekata unutar općeg proračuna (Indeks 147,47</w:t>
      </w:r>
      <w:r w:rsidR="0041162B">
        <w:t>%</w:t>
      </w:r>
      <w:r>
        <w:t>) što se ponajviše odnosi na primljenu uplatu za uređenje Doma Športova Ploča od strane Državnog proračuna RH u iznosu od 369 330,00eura.</w:t>
      </w:r>
    </w:p>
    <w:p w14:paraId="7D5DCA1E" w14:textId="7CC2A63F" w:rsidR="0041162B" w:rsidRDefault="0041162B" w:rsidP="00AB597B">
      <w:pPr>
        <w:spacing w:line="360" w:lineRule="auto"/>
        <w:jc w:val="both"/>
      </w:pPr>
      <w:r>
        <w:t xml:space="preserve">Prihodi od imovine bilježe rast u odnosu na izvještajno razdoblje prethodne godine (Indeks 144,97%) najviše zbog povećanja prihoda naknade za koncesije koja bilježi rast (Indeks 311,59%), a koja se odnosi na naknadu za koncesije na pomorskom dobru. </w:t>
      </w:r>
    </w:p>
    <w:p w14:paraId="49B04F11" w14:textId="456D1F58" w:rsidR="0041162B" w:rsidRDefault="0041162B" w:rsidP="00AB597B">
      <w:pPr>
        <w:spacing w:line="360" w:lineRule="auto"/>
        <w:jc w:val="both"/>
      </w:pPr>
      <w:r>
        <w:t>Prihodi od upravnih i administrativnih pristojbi, pristojbi po posebnim propisima i naknada bilježe porast (Indeks 164,44%) u odnosu na izvještajno razdoblje prethodne godine u prvom redu zbog ranije naplate komunalne naknade od strane fizičkih i pravnih osoba.</w:t>
      </w:r>
    </w:p>
    <w:p w14:paraId="02540C39" w14:textId="252954C3" w:rsidR="0041162B" w:rsidRDefault="0041162B" w:rsidP="00AB597B">
      <w:pPr>
        <w:spacing w:line="360" w:lineRule="auto"/>
        <w:jc w:val="both"/>
      </w:pPr>
      <w:r>
        <w:t xml:space="preserve">Prihodi od prodaje proizvoda i robe te pruženih usluga, prihodi od donacija te povrati bilježe rast u odnosu na izvještajno razdoblje prethodne godine (Indeks 297,93%). Razlog ovakvog povećanje jest primljena donacija od fizičkih i pravnih osoba izvan općeg proračuna točnije dioničkog društva Centar za vozila Hrvatske koje je sudjelovalo u projektu </w:t>
      </w:r>
      <w:r w:rsidR="00D83E82">
        <w:t xml:space="preserve">Izvanredno održavanje raskrižja ulica </w:t>
      </w:r>
      <w:proofErr w:type="spellStart"/>
      <w:r w:rsidR="00D83E82">
        <w:t>V.Nazora</w:t>
      </w:r>
      <w:proofErr w:type="spellEnd"/>
      <w:r w:rsidR="00D83E82">
        <w:t xml:space="preserve">, </w:t>
      </w:r>
      <w:proofErr w:type="spellStart"/>
      <w:r w:rsidR="00D83E82">
        <w:t>S.Radića</w:t>
      </w:r>
      <w:proofErr w:type="spellEnd"/>
      <w:r w:rsidR="00D83E82">
        <w:t xml:space="preserve">, </w:t>
      </w:r>
      <w:proofErr w:type="spellStart"/>
      <w:r w:rsidR="00D83E82">
        <w:t>A.G.Matoša</w:t>
      </w:r>
      <w:proofErr w:type="spellEnd"/>
      <w:r w:rsidR="00D83E82">
        <w:t xml:space="preserve"> i </w:t>
      </w:r>
      <w:proofErr w:type="spellStart"/>
      <w:r w:rsidR="00D83E82">
        <w:t>S.S.Kranjčevića</w:t>
      </w:r>
      <w:proofErr w:type="spellEnd"/>
      <w:r w:rsidR="00D83E82">
        <w:t xml:space="preserve"> u Pločama s donacijom od 100 000,00eura.</w:t>
      </w:r>
    </w:p>
    <w:p w14:paraId="1139C96D" w14:textId="0064D7B2" w:rsidR="00D83E82" w:rsidRDefault="00D83E82" w:rsidP="00AB597B">
      <w:pPr>
        <w:spacing w:line="360" w:lineRule="auto"/>
        <w:jc w:val="both"/>
      </w:pPr>
      <w:r>
        <w:t xml:space="preserve">Kazne, upravne mjere i ostali prihodi bilježe rast (Indeks 121,86%) u odnosu na izvještajno razdoblje prethodne godine u prvom redu zbog naplate većeg broja kazni koje se odnose na nepropisna parkiranja i zadržavanja na području Grada. </w:t>
      </w:r>
    </w:p>
    <w:p w14:paraId="7C5F7C0C" w14:textId="658460C0" w:rsidR="00D83E82" w:rsidRDefault="00D83E82" w:rsidP="00AB597B">
      <w:pPr>
        <w:spacing w:line="360" w:lineRule="auto"/>
        <w:jc w:val="both"/>
      </w:pPr>
      <w:r>
        <w:t xml:space="preserve">Što se tiče prihoda od prodaje nefinancijske imovine ona bilježe značajni pad u odnosu na izvještajno razdoblje prethodne godine (Indeks 0,95%) zbog toga što je u izvještajnom razdoblju prethodne godine realizirana prodaja zemljišta koje je bilo u vlasništvu Grada što nije bilo slučaj u izvještajnom razdoblju 2025.godine. </w:t>
      </w:r>
    </w:p>
    <w:p w14:paraId="0EBBC508" w14:textId="77777777" w:rsidR="00C91342" w:rsidRDefault="00C91342" w:rsidP="00AB597B">
      <w:pPr>
        <w:spacing w:line="360" w:lineRule="auto"/>
        <w:jc w:val="both"/>
      </w:pPr>
    </w:p>
    <w:p w14:paraId="30B8D56B" w14:textId="77777777" w:rsidR="00715616" w:rsidRDefault="00715616" w:rsidP="00AB597B">
      <w:pPr>
        <w:spacing w:line="360" w:lineRule="auto"/>
        <w:jc w:val="both"/>
      </w:pPr>
    </w:p>
    <w:p w14:paraId="5C1D169F" w14:textId="545015FC" w:rsidR="00715616" w:rsidRDefault="00715616" w:rsidP="00AB597B">
      <w:pPr>
        <w:spacing w:line="360" w:lineRule="auto"/>
        <w:jc w:val="both"/>
        <w:rPr>
          <w:b/>
          <w:bCs/>
        </w:rPr>
      </w:pPr>
      <w:r w:rsidRPr="00715616">
        <w:rPr>
          <w:b/>
          <w:bCs/>
        </w:rPr>
        <w:lastRenderedPageBreak/>
        <w:t>I.II.</w:t>
      </w:r>
      <w:r>
        <w:rPr>
          <w:b/>
          <w:bCs/>
        </w:rPr>
        <w:t xml:space="preserve"> IZVRŠNJE PRIHODA OD 1.1.2025.-30.6.2025. U ODNOSU NA PLANIRANE PRIHODE 2025. GODINE</w:t>
      </w:r>
    </w:p>
    <w:p w14:paraId="4D08B115" w14:textId="77777777" w:rsidR="004327A4" w:rsidRDefault="00715616" w:rsidP="00AB597B">
      <w:pPr>
        <w:spacing w:line="360" w:lineRule="auto"/>
        <w:jc w:val="both"/>
      </w:pPr>
      <w:r>
        <w:t>Ukupni Prihodi proračuna Grada Ploča za prvo polugodište 2025.godine ostvareni su u iznosu od 4 476 363,09 eura ili 29,39% u odnosu na planirane prihode za cijelu godinu. U ukupne prihode proračuna uključeni su i vlastiti prihodi proračunskih korisnika</w:t>
      </w:r>
      <w:r w:rsidR="004327A4">
        <w:t>.</w:t>
      </w:r>
    </w:p>
    <w:p w14:paraId="4243FA4E" w14:textId="0D797E2E" w:rsidR="008E4D28" w:rsidRDefault="00282546" w:rsidP="00AB597B">
      <w:pPr>
        <w:spacing w:line="360" w:lineRule="auto"/>
        <w:jc w:val="both"/>
      </w:pPr>
      <w:r>
        <w:t>U strukturi ukupnih proračunskih prihoda dominantno mjesto zauzimaju Prihodi od poreza u ukupnom iznosu od 1 586 426,22 eura što je izvršenje od 35,37% ukupno planiranog za 2025.godinu. Pomoću unutar općeg proračuna su realizirano u postotku od 35,19% ukupno planiranog za 2025. godinu. Prihodi od imovine realizirani su u iznosu od 56 911,30 eura što čini izvršenje od 19,81% od ukupno planiranih prihoda za 2025 godinu. Prihodi od upravnih i administrativnih pristojbi, pristojbi po posebnim propisima i naknada ostvareni su u iznosu od 1 180 326,13 eura od ukupno planiranih 3 413 857,77 eura, što čini ukupni postotak izvršenja od 34,57%. Prihodi od prodaje proizvoda i robe te pruženih usluga, prihodi od donacija te povrati realizirani su u ukupnom postotku od  77,35%</w:t>
      </w:r>
      <w:r w:rsidR="008E4D28">
        <w:t xml:space="preserve"> odnosno 159 484,80 eura u odnosu na 206 190,00 eura koliko je planirano za 2025 godinu. Na prihode od pruženih usluga zakupa poslovnih prostora i sl. otpada 42 418,80 eura dok na donacije otpada 117 006,00 eura od kojih se najviše ističe donacija dioničkog društva Centar za vozila Hrvatske.</w:t>
      </w:r>
      <w:r>
        <w:t xml:space="preserve"> </w:t>
      </w:r>
      <w:r w:rsidR="00715616">
        <w:t xml:space="preserve"> </w:t>
      </w:r>
      <w:r w:rsidR="008E4D28">
        <w:t xml:space="preserve">Kazne, upravne mjere i ostali prihodi realizirani su u postotku od 14,95% od ukupnih planiranih prihoda za 2025 godinu. Prihodi od prodaje nefinancijske imovine realizirani su u dosta manjem postotku od planiranog, točnije 0,50% od ukupnog plana za 2025.godinu zbog toga što u prvoj polovici godine nije realizirana ni jedna prodaja zemljišta na području Grada Ploča. </w:t>
      </w:r>
    </w:p>
    <w:p w14:paraId="67006773" w14:textId="77777777" w:rsidR="005738EC" w:rsidRDefault="005738EC" w:rsidP="00AB597B">
      <w:pPr>
        <w:spacing w:line="360" w:lineRule="auto"/>
        <w:jc w:val="both"/>
      </w:pPr>
    </w:p>
    <w:p w14:paraId="75EA0140" w14:textId="2E47D0E9" w:rsidR="005738EC" w:rsidRDefault="005738EC" w:rsidP="00AB597B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5738EC">
        <w:rPr>
          <w:b/>
          <w:bCs/>
        </w:rPr>
        <w:t>RASHODI</w:t>
      </w:r>
    </w:p>
    <w:p w14:paraId="371DDB15" w14:textId="77777777" w:rsidR="0079750C" w:rsidRDefault="005738EC" w:rsidP="00AB597B">
      <w:pPr>
        <w:spacing w:line="360" w:lineRule="auto"/>
        <w:jc w:val="both"/>
      </w:pPr>
      <w:r>
        <w:t xml:space="preserve">Ukupni rashodi proračuna Grada Ploča za prvu polovicu godine iznose 4 399 321,63 eura što predstavlja povećanje realizacije u odnosu na izvještajno razdoblje prethodne godine (Indeks 108,52%) i realizaciju od 28,68% ukupno planiranih rashoda za proračun 2025.godine. </w:t>
      </w:r>
      <w:r w:rsidR="006B4D6E">
        <w:t xml:space="preserve"> Važno je napomenuti da ukupni rashodi sadržavaju rashode Grada Ploča ali i svih njegovih proračunskih korisnika točnije, Narodne knjižnice Ploče, Dječjeg vrtića Ploče, Javne vatrogasne postrojbe Ploče te Pučkog otvorenog učilišta Ploče. Ukupni </w:t>
      </w:r>
      <w:r w:rsidR="006B4D6E">
        <w:lastRenderedPageBreak/>
        <w:t>rashodi za zaposlene realizirani su u iznosu od 3 720 244,36 eura što predstavlja realizaciju od 40,86% od ukupno planiranog proračuna. Materijalni rashodi realizirani su u postotku od 47,35% dok su financijski rashodi realizirani u postotku od 48,95% od ukupno planiranog proračuna za 2025. godinu. Naknade građanima i kućanstvima realizirane su u iznosu od 125 144,39 što predstavlja izvršenje od 34,43% u odnosu na planirano za cijelu 2025. godinu. Rashodi za donacije, kazne, naknade šteta i kapitalne pomoći ostvareni su u postotku od 26,26 % u odnosu na planirano. Ukupni rashodi za nabavu nefinancijske imovine realizirani su u iznosu od 679 077,27 eura odnosno 10,90% u odnosu na planirano za 2025. godinu.</w:t>
      </w:r>
    </w:p>
    <w:p w14:paraId="7FD89A08" w14:textId="02C70117" w:rsidR="005738EC" w:rsidRDefault="0079750C" w:rsidP="00AB597B">
      <w:pPr>
        <w:spacing w:line="360" w:lineRule="auto"/>
        <w:jc w:val="both"/>
      </w:pPr>
      <w:r>
        <w:t xml:space="preserve">Rashodi gotovo svih proračunskih korisnika su linearno izvršeni i kreću se oko 50%, uz napomenu da su u rashodima proračunskih korisnika prikazani i rashodi koji se financiraju iz vlastitih izvora koji su realizirani u prvoj polovici godine. Tako su ukupni rashodi Javne vatrogasne postrojbe realizirani u iznosu od </w:t>
      </w:r>
      <w:r w:rsidR="00861FBD">
        <w:t xml:space="preserve">442 556,62 eura, Narodna knjižnica Ploče 60 261,19eura, Dječji vrtić Ploče 887 566,16eura te Pučko otvoreno učilište 78 085,97 eura. </w:t>
      </w:r>
      <w:r w:rsidR="006B4D6E">
        <w:t xml:space="preserve"> </w:t>
      </w:r>
    </w:p>
    <w:p w14:paraId="4506E1FA" w14:textId="77777777" w:rsidR="0079750C" w:rsidRPr="0079750C" w:rsidRDefault="0079750C" w:rsidP="00AB597B">
      <w:pPr>
        <w:spacing w:line="360" w:lineRule="auto"/>
        <w:jc w:val="both"/>
        <w:rPr>
          <w:b/>
          <w:bCs/>
        </w:rPr>
      </w:pPr>
    </w:p>
    <w:p w14:paraId="16EE1F4E" w14:textId="453BDB03" w:rsidR="0079750C" w:rsidRDefault="0079750C" w:rsidP="00AB597B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79750C">
        <w:rPr>
          <w:b/>
          <w:bCs/>
        </w:rPr>
        <w:t>IZVRŠENJE PRORAČUNA</w:t>
      </w:r>
    </w:p>
    <w:p w14:paraId="295A4E28" w14:textId="455A858D" w:rsidR="00AB597B" w:rsidRDefault="0079750C" w:rsidP="00CE6CA6">
      <w:pPr>
        <w:spacing w:line="360" w:lineRule="auto"/>
        <w:jc w:val="both"/>
      </w:pPr>
      <w:r>
        <w:t>Iz svega već navedenog možemo zaključiti da su ukupni prihodi poslovanja realizirani u iznosu od 4 476 363,09 eura odnosno 29,39% od ukupno planiranih prihoda za 2025.godinu. Ukupni rashodi su realizirani u iznosu 4 399 231,63 eura odnosno 28,68% ukupno planiranih rashoda za 2025.godinu. Iznos izdataka za financijsku imovinu i otplate zajmova iznose 24 341,23 eura odnosno 50,03% izvršenja za 2025.godinu. Stoga je ukupni rezultat za izvještajno razdoblje 1.1.2025.-30.6.2025. 52 700,23 eura koji predstavlja višak poslovanja na kraju izvještajnog razdoblja.</w:t>
      </w:r>
    </w:p>
    <w:p w14:paraId="04F2933B" w14:textId="77777777" w:rsidR="00CE6CA6" w:rsidRDefault="00CE6CA6" w:rsidP="00CE6CA6">
      <w:pPr>
        <w:spacing w:line="360" w:lineRule="auto"/>
        <w:jc w:val="both"/>
      </w:pPr>
    </w:p>
    <w:p w14:paraId="492DD851" w14:textId="77777777" w:rsidR="00CE6CA6" w:rsidRDefault="00CE6CA6" w:rsidP="00CE6CA6">
      <w:pPr>
        <w:spacing w:line="360" w:lineRule="auto"/>
        <w:jc w:val="both"/>
      </w:pPr>
    </w:p>
    <w:p w14:paraId="20C4A5A2" w14:textId="77777777" w:rsidR="00CE6CA6" w:rsidRDefault="00CE6CA6" w:rsidP="00CE6CA6">
      <w:pPr>
        <w:spacing w:line="360" w:lineRule="auto"/>
        <w:jc w:val="both"/>
      </w:pPr>
    </w:p>
    <w:p w14:paraId="7978B490" w14:textId="77777777" w:rsidR="00CE6CA6" w:rsidRDefault="00CE6CA6" w:rsidP="00CE6CA6">
      <w:pPr>
        <w:spacing w:line="360" w:lineRule="auto"/>
        <w:jc w:val="both"/>
      </w:pPr>
    </w:p>
    <w:p w14:paraId="3E8E83BE" w14:textId="77777777" w:rsidR="00CE6CA6" w:rsidRDefault="00CE6CA6" w:rsidP="00CE6CA6">
      <w:pPr>
        <w:spacing w:line="360" w:lineRule="auto"/>
        <w:jc w:val="both"/>
      </w:pPr>
    </w:p>
    <w:p w14:paraId="36CD3A7B" w14:textId="79711E03" w:rsidR="00F16655" w:rsidRDefault="00AB597B" w:rsidP="0079750C">
      <w:pPr>
        <w:jc w:val="both"/>
      </w:pPr>
      <w:r w:rsidRPr="00AB597B">
        <w:rPr>
          <w:b/>
          <w:bCs/>
        </w:rPr>
        <w:lastRenderedPageBreak/>
        <w:t>Tablica 2</w:t>
      </w:r>
      <w:r>
        <w:t>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152"/>
        <w:gridCol w:w="1714"/>
        <w:gridCol w:w="1586"/>
        <w:gridCol w:w="1615"/>
      </w:tblGrid>
      <w:tr w:rsidR="00F16655" w:rsidRPr="00C91342" w14:paraId="499E4B54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1FD02AE7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Račun / opis</w:t>
            </w:r>
          </w:p>
        </w:tc>
        <w:tc>
          <w:tcPr>
            <w:tcW w:w="1714" w:type="dxa"/>
            <w:noWrap/>
            <w:hideMark/>
          </w:tcPr>
          <w:p w14:paraId="00554069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Izvorni plan 2025.</w:t>
            </w:r>
          </w:p>
        </w:tc>
        <w:tc>
          <w:tcPr>
            <w:tcW w:w="1586" w:type="dxa"/>
            <w:noWrap/>
            <w:hideMark/>
          </w:tcPr>
          <w:p w14:paraId="6194B670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Izvršenje 2025.</w:t>
            </w:r>
          </w:p>
        </w:tc>
        <w:tc>
          <w:tcPr>
            <w:tcW w:w="1615" w:type="dxa"/>
            <w:noWrap/>
            <w:hideMark/>
          </w:tcPr>
          <w:p w14:paraId="0EE38627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Indeks  3/2</w:t>
            </w:r>
          </w:p>
        </w:tc>
      </w:tr>
      <w:tr w:rsidR="00F16655" w:rsidRPr="00C91342" w14:paraId="29ADFC89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58BCA217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A. RAČUN PRIHODA I RASHODA</w:t>
            </w:r>
          </w:p>
        </w:tc>
        <w:tc>
          <w:tcPr>
            <w:tcW w:w="1714" w:type="dxa"/>
            <w:noWrap/>
            <w:hideMark/>
          </w:tcPr>
          <w:p w14:paraId="2CA633AD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2</w:t>
            </w:r>
          </w:p>
        </w:tc>
        <w:tc>
          <w:tcPr>
            <w:tcW w:w="1586" w:type="dxa"/>
            <w:noWrap/>
            <w:hideMark/>
          </w:tcPr>
          <w:p w14:paraId="7F194C7C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3</w:t>
            </w:r>
          </w:p>
        </w:tc>
        <w:tc>
          <w:tcPr>
            <w:tcW w:w="1615" w:type="dxa"/>
            <w:noWrap/>
            <w:hideMark/>
          </w:tcPr>
          <w:p w14:paraId="50F6DDF6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5</w:t>
            </w:r>
          </w:p>
        </w:tc>
      </w:tr>
      <w:tr w:rsidR="00F16655" w:rsidRPr="00C91342" w14:paraId="30C95378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12BDE944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6 Prihodi poslovanja</w:t>
            </w:r>
          </w:p>
        </w:tc>
        <w:tc>
          <w:tcPr>
            <w:tcW w:w="1714" w:type="dxa"/>
            <w:noWrap/>
            <w:hideMark/>
          </w:tcPr>
          <w:p w14:paraId="1CD04AB4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12.619.776,45</w:t>
            </w:r>
          </w:p>
        </w:tc>
        <w:tc>
          <w:tcPr>
            <w:tcW w:w="1586" w:type="dxa"/>
            <w:noWrap/>
            <w:hideMark/>
          </w:tcPr>
          <w:p w14:paraId="7DCE93E2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4.463.374,53</w:t>
            </w:r>
          </w:p>
        </w:tc>
        <w:tc>
          <w:tcPr>
            <w:tcW w:w="1615" w:type="dxa"/>
            <w:noWrap/>
            <w:hideMark/>
          </w:tcPr>
          <w:p w14:paraId="668C55ED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35,37%</w:t>
            </w:r>
          </w:p>
        </w:tc>
      </w:tr>
      <w:tr w:rsidR="00F16655" w:rsidRPr="00C91342" w14:paraId="33A57C06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3693EB6D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7 Prihodi od prodaje nefinancijske imovine</w:t>
            </w:r>
          </w:p>
        </w:tc>
        <w:tc>
          <w:tcPr>
            <w:tcW w:w="1714" w:type="dxa"/>
            <w:noWrap/>
            <w:hideMark/>
          </w:tcPr>
          <w:p w14:paraId="2AC4CDD9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2.611.850,00</w:t>
            </w:r>
          </w:p>
        </w:tc>
        <w:tc>
          <w:tcPr>
            <w:tcW w:w="1586" w:type="dxa"/>
            <w:noWrap/>
            <w:hideMark/>
          </w:tcPr>
          <w:p w14:paraId="5B19C3BD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12.988,56</w:t>
            </w:r>
          </w:p>
        </w:tc>
        <w:tc>
          <w:tcPr>
            <w:tcW w:w="1615" w:type="dxa"/>
            <w:noWrap/>
            <w:hideMark/>
          </w:tcPr>
          <w:p w14:paraId="2182D802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0,50%</w:t>
            </w:r>
          </w:p>
        </w:tc>
      </w:tr>
      <w:tr w:rsidR="00F16655" w:rsidRPr="00C91342" w14:paraId="08BA88C1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6E93CDF7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 xml:space="preserve"> UKUPNI PRIHODI</w:t>
            </w:r>
          </w:p>
        </w:tc>
        <w:tc>
          <w:tcPr>
            <w:tcW w:w="1714" w:type="dxa"/>
            <w:noWrap/>
            <w:hideMark/>
          </w:tcPr>
          <w:p w14:paraId="49612EF5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15.231.626,45</w:t>
            </w:r>
          </w:p>
        </w:tc>
        <w:tc>
          <w:tcPr>
            <w:tcW w:w="1586" w:type="dxa"/>
            <w:noWrap/>
            <w:hideMark/>
          </w:tcPr>
          <w:p w14:paraId="305344F9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4.476.363,09</w:t>
            </w:r>
          </w:p>
        </w:tc>
        <w:tc>
          <w:tcPr>
            <w:tcW w:w="1615" w:type="dxa"/>
            <w:noWrap/>
            <w:hideMark/>
          </w:tcPr>
          <w:p w14:paraId="10CC4D34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29,39%</w:t>
            </w:r>
          </w:p>
        </w:tc>
      </w:tr>
      <w:tr w:rsidR="00F16655" w:rsidRPr="00C91342" w14:paraId="65E787CB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771D04D0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3 Rashodi poslovanja</w:t>
            </w:r>
          </w:p>
        </w:tc>
        <w:tc>
          <w:tcPr>
            <w:tcW w:w="1714" w:type="dxa"/>
            <w:noWrap/>
            <w:hideMark/>
          </w:tcPr>
          <w:p w14:paraId="76B5AF8D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9.104.832,77</w:t>
            </w:r>
          </w:p>
        </w:tc>
        <w:tc>
          <w:tcPr>
            <w:tcW w:w="1586" w:type="dxa"/>
            <w:noWrap/>
            <w:hideMark/>
          </w:tcPr>
          <w:p w14:paraId="331CA1EB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3.720.244,36</w:t>
            </w:r>
          </w:p>
        </w:tc>
        <w:tc>
          <w:tcPr>
            <w:tcW w:w="1615" w:type="dxa"/>
            <w:noWrap/>
            <w:hideMark/>
          </w:tcPr>
          <w:p w14:paraId="00F58477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40,86%</w:t>
            </w:r>
          </w:p>
        </w:tc>
      </w:tr>
      <w:tr w:rsidR="00F16655" w:rsidRPr="00C91342" w14:paraId="3458E74C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7E516A49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4 Rashodi za nabavu nefinancijske imovine</w:t>
            </w:r>
          </w:p>
        </w:tc>
        <w:tc>
          <w:tcPr>
            <w:tcW w:w="1714" w:type="dxa"/>
            <w:noWrap/>
            <w:hideMark/>
          </w:tcPr>
          <w:p w14:paraId="5C253D82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6.232.509,97</w:t>
            </w:r>
          </w:p>
        </w:tc>
        <w:tc>
          <w:tcPr>
            <w:tcW w:w="1586" w:type="dxa"/>
            <w:noWrap/>
            <w:hideMark/>
          </w:tcPr>
          <w:p w14:paraId="1BB57D18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679.077,27</w:t>
            </w:r>
          </w:p>
        </w:tc>
        <w:tc>
          <w:tcPr>
            <w:tcW w:w="1615" w:type="dxa"/>
            <w:noWrap/>
            <w:hideMark/>
          </w:tcPr>
          <w:p w14:paraId="5F82B4A4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10,90%</w:t>
            </w:r>
          </w:p>
        </w:tc>
      </w:tr>
      <w:tr w:rsidR="00F16655" w:rsidRPr="00C91342" w14:paraId="043A9DBC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51AE21C7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 xml:space="preserve"> UKUPNI RASHODI</w:t>
            </w:r>
          </w:p>
        </w:tc>
        <w:tc>
          <w:tcPr>
            <w:tcW w:w="1714" w:type="dxa"/>
            <w:noWrap/>
            <w:hideMark/>
          </w:tcPr>
          <w:p w14:paraId="21C165E6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15.337.342,74</w:t>
            </w:r>
          </w:p>
        </w:tc>
        <w:tc>
          <w:tcPr>
            <w:tcW w:w="1586" w:type="dxa"/>
            <w:noWrap/>
            <w:hideMark/>
          </w:tcPr>
          <w:p w14:paraId="136EFBCE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4.399.321,63</w:t>
            </w:r>
          </w:p>
        </w:tc>
        <w:tc>
          <w:tcPr>
            <w:tcW w:w="1615" w:type="dxa"/>
            <w:noWrap/>
            <w:hideMark/>
          </w:tcPr>
          <w:p w14:paraId="66E898CB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28,68%</w:t>
            </w:r>
          </w:p>
        </w:tc>
      </w:tr>
      <w:tr w:rsidR="00F16655" w:rsidRPr="00C91342" w14:paraId="59C28CB9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57C1DDAF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 xml:space="preserve"> VIŠAK / MANJAK</w:t>
            </w:r>
          </w:p>
        </w:tc>
        <w:tc>
          <w:tcPr>
            <w:tcW w:w="1714" w:type="dxa"/>
            <w:noWrap/>
            <w:hideMark/>
          </w:tcPr>
          <w:p w14:paraId="2EF34685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-105.716,29</w:t>
            </w:r>
          </w:p>
        </w:tc>
        <w:tc>
          <w:tcPr>
            <w:tcW w:w="1586" w:type="dxa"/>
            <w:noWrap/>
            <w:hideMark/>
          </w:tcPr>
          <w:p w14:paraId="45E51975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77.041,46</w:t>
            </w:r>
          </w:p>
        </w:tc>
        <w:tc>
          <w:tcPr>
            <w:tcW w:w="1615" w:type="dxa"/>
            <w:noWrap/>
            <w:hideMark/>
          </w:tcPr>
          <w:p w14:paraId="24472E28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-72,88%</w:t>
            </w:r>
          </w:p>
        </w:tc>
      </w:tr>
      <w:tr w:rsidR="00F16655" w:rsidRPr="00C91342" w14:paraId="5CBA6625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179D7288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B. RAČUN ZADUŽIVANJA / FINANCIRANJA</w:t>
            </w:r>
          </w:p>
        </w:tc>
        <w:tc>
          <w:tcPr>
            <w:tcW w:w="1714" w:type="dxa"/>
            <w:noWrap/>
            <w:hideMark/>
          </w:tcPr>
          <w:p w14:paraId="39296547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 </w:t>
            </w:r>
          </w:p>
        </w:tc>
        <w:tc>
          <w:tcPr>
            <w:tcW w:w="1586" w:type="dxa"/>
            <w:noWrap/>
            <w:hideMark/>
          </w:tcPr>
          <w:p w14:paraId="041F2352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 </w:t>
            </w:r>
          </w:p>
        </w:tc>
        <w:tc>
          <w:tcPr>
            <w:tcW w:w="1615" w:type="dxa"/>
            <w:noWrap/>
            <w:hideMark/>
          </w:tcPr>
          <w:p w14:paraId="01134E95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 </w:t>
            </w:r>
          </w:p>
        </w:tc>
      </w:tr>
      <w:tr w:rsidR="00F16655" w:rsidRPr="00C91342" w14:paraId="4AB5AE0A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75ED863C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8 Primici od financijske imovine i zaduživanja</w:t>
            </w:r>
          </w:p>
        </w:tc>
        <w:tc>
          <w:tcPr>
            <w:tcW w:w="1714" w:type="dxa"/>
            <w:noWrap/>
            <w:hideMark/>
          </w:tcPr>
          <w:p w14:paraId="2366AAF5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</w:t>
            </w:r>
          </w:p>
        </w:tc>
        <w:tc>
          <w:tcPr>
            <w:tcW w:w="1586" w:type="dxa"/>
            <w:noWrap/>
            <w:hideMark/>
          </w:tcPr>
          <w:p w14:paraId="34B94894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</w:t>
            </w:r>
          </w:p>
        </w:tc>
        <w:tc>
          <w:tcPr>
            <w:tcW w:w="1615" w:type="dxa"/>
            <w:noWrap/>
            <w:hideMark/>
          </w:tcPr>
          <w:p w14:paraId="10F96573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0,00%</w:t>
            </w:r>
          </w:p>
        </w:tc>
      </w:tr>
      <w:tr w:rsidR="00F16655" w:rsidRPr="00C91342" w14:paraId="040EAB98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36E2977D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5 Izdaci za financijsku imovinu i otplate zajmova</w:t>
            </w:r>
          </w:p>
        </w:tc>
        <w:tc>
          <w:tcPr>
            <w:tcW w:w="1714" w:type="dxa"/>
            <w:noWrap/>
            <w:hideMark/>
          </w:tcPr>
          <w:p w14:paraId="3158CA2E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48.655,72</w:t>
            </w:r>
          </w:p>
        </w:tc>
        <w:tc>
          <w:tcPr>
            <w:tcW w:w="1586" w:type="dxa"/>
            <w:noWrap/>
            <w:hideMark/>
          </w:tcPr>
          <w:p w14:paraId="365116A9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24.341,23</w:t>
            </w:r>
          </w:p>
        </w:tc>
        <w:tc>
          <w:tcPr>
            <w:tcW w:w="1615" w:type="dxa"/>
            <w:noWrap/>
            <w:hideMark/>
          </w:tcPr>
          <w:p w14:paraId="0E739B04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50,03%</w:t>
            </w:r>
          </w:p>
        </w:tc>
      </w:tr>
      <w:tr w:rsidR="00F16655" w:rsidRPr="00C91342" w14:paraId="0E1076BB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41D9901B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 xml:space="preserve"> NETO ZADUŽIVANJE</w:t>
            </w:r>
          </w:p>
        </w:tc>
        <w:tc>
          <w:tcPr>
            <w:tcW w:w="1714" w:type="dxa"/>
            <w:noWrap/>
            <w:hideMark/>
          </w:tcPr>
          <w:p w14:paraId="32BFB1A1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-48.655,72</w:t>
            </w:r>
          </w:p>
        </w:tc>
        <w:tc>
          <w:tcPr>
            <w:tcW w:w="1586" w:type="dxa"/>
            <w:noWrap/>
            <w:hideMark/>
          </w:tcPr>
          <w:p w14:paraId="7F0E321E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-24.341,23</w:t>
            </w:r>
          </w:p>
        </w:tc>
        <w:tc>
          <w:tcPr>
            <w:tcW w:w="1615" w:type="dxa"/>
            <w:noWrap/>
            <w:hideMark/>
          </w:tcPr>
          <w:p w14:paraId="168882D9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50,03%</w:t>
            </w:r>
          </w:p>
        </w:tc>
      </w:tr>
      <w:tr w:rsidR="00F16655" w:rsidRPr="00C91342" w14:paraId="2FACC95A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28A7AABE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 xml:space="preserve"> UKUPNI DONOS VIŠKA / MANJKA IZ PRETHODNE(IH) GODINA</w:t>
            </w:r>
          </w:p>
        </w:tc>
        <w:tc>
          <w:tcPr>
            <w:tcW w:w="1714" w:type="dxa"/>
            <w:noWrap/>
            <w:hideMark/>
          </w:tcPr>
          <w:p w14:paraId="2380AB1C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</w:t>
            </w:r>
          </w:p>
        </w:tc>
        <w:tc>
          <w:tcPr>
            <w:tcW w:w="1586" w:type="dxa"/>
            <w:noWrap/>
            <w:hideMark/>
          </w:tcPr>
          <w:p w14:paraId="1A310CF8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</w:t>
            </w:r>
          </w:p>
        </w:tc>
        <w:tc>
          <w:tcPr>
            <w:tcW w:w="1615" w:type="dxa"/>
            <w:noWrap/>
            <w:hideMark/>
          </w:tcPr>
          <w:p w14:paraId="1D21AB13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 </w:t>
            </w:r>
          </w:p>
        </w:tc>
      </w:tr>
      <w:tr w:rsidR="00F16655" w:rsidRPr="00C91342" w14:paraId="0DFB5C9C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12B5462F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 xml:space="preserve"> VIŠAK / MANJAK IZ PRETHODNE(IH) GODINE KOJI ĆE SE POKRITI / RASPOREDITI</w:t>
            </w:r>
          </w:p>
        </w:tc>
        <w:tc>
          <w:tcPr>
            <w:tcW w:w="1714" w:type="dxa"/>
            <w:noWrap/>
            <w:hideMark/>
          </w:tcPr>
          <w:p w14:paraId="1EA0AD9B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154.372,01</w:t>
            </w:r>
          </w:p>
        </w:tc>
        <w:tc>
          <w:tcPr>
            <w:tcW w:w="1586" w:type="dxa"/>
            <w:noWrap/>
            <w:hideMark/>
          </w:tcPr>
          <w:p w14:paraId="1530C37E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</w:t>
            </w:r>
          </w:p>
        </w:tc>
        <w:tc>
          <w:tcPr>
            <w:tcW w:w="1615" w:type="dxa"/>
            <w:noWrap/>
            <w:hideMark/>
          </w:tcPr>
          <w:p w14:paraId="44BFD280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0,00%</w:t>
            </w:r>
          </w:p>
        </w:tc>
      </w:tr>
      <w:tr w:rsidR="00F16655" w:rsidRPr="00C91342" w14:paraId="0055EEE7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7F1C738E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VIŠAK / MANJAK + NETO ZADUŽIVANJE / FINANCIRANJE + KORIŠTENO U PRETHODNIM GODINAMA</w:t>
            </w:r>
          </w:p>
        </w:tc>
        <w:tc>
          <w:tcPr>
            <w:tcW w:w="1714" w:type="dxa"/>
            <w:noWrap/>
            <w:hideMark/>
          </w:tcPr>
          <w:p w14:paraId="29F5BB3B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 </w:t>
            </w:r>
          </w:p>
        </w:tc>
        <w:tc>
          <w:tcPr>
            <w:tcW w:w="1586" w:type="dxa"/>
            <w:noWrap/>
            <w:hideMark/>
          </w:tcPr>
          <w:p w14:paraId="531C8A05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 </w:t>
            </w:r>
          </w:p>
        </w:tc>
        <w:tc>
          <w:tcPr>
            <w:tcW w:w="1615" w:type="dxa"/>
            <w:noWrap/>
            <w:hideMark/>
          </w:tcPr>
          <w:p w14:paraId="3DE4747F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 </w:t>
            </w:r>
          </w:p>
        </w:tc>
      </w:tr>
      <w:tr w:rsidR="00F16655" w:rsidRPr="00C91342" w14:paraId="243D22F7" w14:textId="77777777" w:rsidTr="00F16655">
        <w:trPr>
          <w:trHeight w:val="300"/>
        </w:trPr>
        <w:tc>
          <w:tcPr>
            <w:tcW w:w="4152" w:type="dxa"/>
            <w:noWrap/>
            <w:hideMark/>
          </w:tcPr>
          <w:p w14:paraId="7BBAC152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 xml:space="preserve"> REZULTAT GODINE</w:t>
            </w:r>
          </w:p>
        </w:tc>
        <w:tc>
          <w:tcPr>
            <w:tcW w:w="1714" w:type="dxa"/>
            <w:noWrap/>
            <w:hideMark/>
          </w:tcPr>
          <w:p w14:paraId="39C4397E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</w:t>
            </w:r>
          </w:p>
        </w:tc>
        <w:tc>
          <w:tcPr>
            <w:tcW w:w="1586" w:type="dxa"/>
            <w:noWrap/>
            <w:hideMark/>
          </w:tcPr>
          <w:p w14:paraId="37DE6F31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52.700,23</w:t>
            </w:r>
          </w:p>
        </w:tc>
        <w:tc>
          <w:tcPr>
            <w:tcW w:w="1615" w:type="dxa"/>
            <w:noWrap/>
            <w:hideMark/>
          </w:tcPr>
          <w:p w14:paraId="53880538" w14:textId="77777777" w:rsidR="00F16655" w:rsidRPr="00C91342" w:rsidRDefault="00F16655" w:rsidP="00F16655">
            <w:pPr>
              <w:jc w:val="both"/>
              <w:rPr>
                <w:b/>
                <w:bCs/>
              </w:rPr>
            </w:pPr>
            <w:r w:rsidRPr="00C91342">
              <w:rPr>
                <w:b/>
                <w:bCs/>
              </w:rPr>
              <w:t>0,00%</w:t>
            </w:r>
          </w:p>
        </w:tc>
      </w:tr>
    </w:tbl>
    <w:p w14:paraId="2DE5C7B7" w14:textId="77777777" w:rsidR="00AB597B" w:rsidRDefault="00AB597B" w:rsidP="0079750C">
      <w:pPr>
        <w:jc w:val="both"/>
      </w:pPr>
    </w:p>
    <w:p w14:paraId="2EBE7478" w14:textId="77777777" w:rsidR="00861FBD" w:rsidRDefault="00861FBD" w:rsidP="0079750C">
      <w:pPr>
        <w:jc w:val="both"/>
      </w:pPr>
    </w:p>
    <w:p w14:paraId="29BE4E64" w14:textId="250703AD" w:rsidR="00AB597B" w:rsidRDefault="00861FBD" w:rsidP="00AB597B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861FBD">
        <w:rPr>
          <w:b/>
          <w:bCs/>
        </w:rPr>
        <w:t>IZVRŠENJE PRORAČUNA PREMA ORGANIZACIJSKOJ KLASIFIKACIJI ZA RAZDOBLJE 1.1.2025.-30.6.2025.</w:t>
      </w:r>
    </w:p>
    <w:p w14:paraId="358D63CB" w14:textId="77777777" w:rsidR="00AB597B" w:rsidRPr="00AB597B" w:rsidRDefault="00AB597B" w:rsidP="00AB597B">
      <w:pPr>
        <w:jc w:val="both"/>
        <w:rPr>
          <w:b/>
          <w:bCs/>
        </w:rPr>
      </w:pPr>
    </w:p>
    <w:p w14:paraId="47634D63" w14:textId="36AD861C" w:rsidR="00861FBD" w:rsidRDefault="00B76AC2" w:rsidP="00AB597B">
      <w:pPr>
        <w:spacing w:line="360" w:lineRule="auto"/>
        <w:jc w:val="both"/>
      </w:pPr>
      <w:r>
        <w:t xml:space="preserve">Organizacijska klasifikacija Grada Ploča strukturirana je na način da je podijeljena na tri razdjela i unutar svakog razdjela na određeni broj glava. </w:t>
      </w:r>
    </w:p>
    <w:p w14:paraId="034ABA9B" w14:textId="50F404AB" w:rsidR="00B76AC2" w:rsidRDefault="00B76AC2" w:rsidP="00CE6CA6">
      <w:pPr>
        <w:spacing w:line="360" w:lineRule="auto"/>
        <w:jc w:val="both"/>
      </w:pPr>
      <w:r>
        <w:t xml:space="preserve">Točnije postoje razdjel Gradsko vijeće i gradonačelnik, razdjel Služba za opće poslove i razdjel Upravni odjel za gospodarski razvoj. Unutar razdjela Gradsko vijeće i gradonačelnik postoje dvije glave: Gradsko vijeće i Gradonačelnik i Mjesna samouprava. </w:t>
      </w:r>
      <w:r>
        <w:lastRenderedPageBreak/>
        <w:t xml:space="preserve">Ukupni rashodi ovoga razdjela iznose 73 685,17 eura od čega se 56 688,56 eura odnosi na Gradsko vijeće i gradonačelnika, a 9 830,21 eura na Mjesnu samoupravu. Unutar razdjela Služba za opće poslove postoje četiri glave: Odsjek za opće i pravne poslove, Odsjek ured gradonačelnika, Odsjek za društvene djelatnosti te Odsjek za imovinu. Ukupni rashodi ovog razdjela iznose 2 337 468,19 eura od čega se 443 067,83 eura odnosi Odsjek za opće i pravne poslove, 79 235,84 eura na Odsjek ured gradonačelnika, 1 658 398,73 eura na Odsjek za društvene djelatnosti te 16 642,09 eura na Odsjek za imovinu. Unutar razdjela Upravni odjel za gospodarski razvoj postoje dvije glave: Odsjek za financije, proračun i naplatu potraživanja te Odsjek za prostorno uređenje i komunalno gospodarstvo. Ukupni rashodi za razdjel Upravni odjel za gospodarski razvoj </w:t>
      </w:r>
      <w:r w:rsidR="000E7845">
        <w:t xml:space="preserve">iznose  2 012 509,50 eura od čega se 739 600,96 odnosi na Odsjek za financije, proračun i naplatu potraživanja te 1 250 026,44 eura na Odsjek za prostorno uređenje i komunalno gospodarstvo. Ukupno izvršenje rashoda razdjela Gradsko vijeće i gradonačelnik je 33,76% u odnosu na izvorni plan 2025. godine. Ukupno izvršenje razdjela Služba za opće poslove iznosi 44,82% u odnosu na izvorni plan 2025.godine. Ukupno izvršenje razdjela Upravni odjel za gospodarski razvoj iznosi 20,22% u odnosu na izvorni plan 2025. godine. </w:t>
      </w:r>
    </w:p>
    <w:p w14:paraId="0D9BD03F" w14:textId="77777777" w:rsidR="004D31A9" w:rsidRDefault="004D31A9" w:rsidP="00CE6CA6">
      <w:pPr>
        <w:spacing w:line="360" w:lineRule="auto"/>
        <w:jc w:val="both"/>
      </w:pPr>
    </w:p>
    <w:p w14:paraId="27CB1F86" w14:textId="77777777" w:rsidR="000C2BB9" w:rsidRDefault="000C2BB9" w:rsidP="00CE6CA6">
      <w:pPr>
        <w:spacing w:line="360" w:lineRule="auto"/>
        <w:jc w:val="both"/>
      </w:pPr>
    </w:p>
    <w:p w14:paraId="2B5434D2" w14:textId="77777777" w:rsidR="000C2BB9" w:rsidRDefault="000C2BB9" w:rsidP="00CE6CA6">
      <w:pPr>
        <w:spacing w:line="360" w:lineRule="auto"/>
        <w:jc w:val="both"/>
      </w:pPr>
    </w:p>
    <w:p w14:paraId="0A459CC0" w14:textId="77777777" w:rsidR="000C2BB9" w:rsidRDefault="000C2BB9" w:rsidP="00CE6CA6">
      <w:pPr>
        <w:spacing w:line="360" w:lineRule="auto"/>
        <w:jc w:val="both"/>
      </w:pPr>
    </w:p>
    <w:p w14:paraId="7965F9F2" w14:textId="77777777" w:rsidR="000C2BB9" w:rsidRDefault="000C2BB9" w:rsidP="00CE6CA6">
      <w:pPr>
        <w:spacing w:line="360" w:lineRule="auto"/>
        <w:jc w:val="both"/>
      </w:pPr>
    </w:p>
    <w:p w14:paraId="2DC93C14" w14:textId="77777777" w:rsidR="000C2BB9" w:rsidRDefault="000C2BB9" w:rsidP="00CE6CA6">
      <w:pPr>
        <w:spacing w:line="360" w:lineRule="auto"/>
        <w:jc w:val="both"/>
      </w:pPr>
    </w:p>
    <w:p w14:paraId="0DD9E216" w14:textId="77777777" w:rsidR="000C2BB9" w:rsidRDefault="000C2BB9" w:rsidP="00CE6CA6">
      <w:pPr>
        <w:spacing w:line="360" w:lineRule="auto"/>
        <w:jc w:val="both"/>
      </w:pPr>
    </w:p>
    <w:p w14:paraId="28D78C3A" w14:textId="77777777" w:rsidR="000C2BB9" w:rsidRDefault="000C2BB9" w:rsidP="00CE6CA6">
      <w:pPr>
        <w:spacing w:line="360" w:lineRule="auto"/>
        <w:jc w:val="both"/>
      </w:pPr>
    </w:p>
    <w:p w14:paraId="47D93B34" w14:textId="77777777" w:rsidR="000C2BB9" w:rsidRDefault="000C2BB9" w:rsidP="00CE6CA6">
      <w:pPr>
        <w:spacing w:line="360" w:lineRule="auto"/>
        <w:jc w:val="both"/>
      </w:pPr>
    </w:p>
    <w:p w14:paraId="4EC8D981" w14:textId="77777777" w:rsidR="000C2BB9" w:rsidRDefault="000C2BB9" w:rsidP="00CE6CA6">
      <w:pPr>
        <w:spacing w:line="360" w:lineRule="auto"/>
        <w:jc w:val="both"/>
      </w:pPr>
    </w:p>
    <w:p w14:paraId="49824BD1" w14:textId="77777777" w:rsidR="000C2BB9" w:rsidRDefault="000C2BB9" w:rsidP="00CE6CA6">
      <w:pPr>
        <w:spacing w:line="360" w:lineRule="auto"/>
        <w:jc w:val="both"/>
      </w:pPr>
    </w:p>
    <w:p w14:paraId="2472594D" w14:textId="6178E2A6" w:rsidR="004D31A9" w:rsidRDefault="004D31A9" w:rsidP="004D31A9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4D31A9">
        <w:rPr>
          <w:b/>
          <w:bCs/>
        </w:rPr>
        <w:lastRenderedPageBreak/>
        <w:t>IZVRŠENJE PRORAČUNA PREMA PROGRAMSKOJ KLASIFIKACIJI ZA RAZDOBLJE 1.1.2025-30.6.2025.</w:t>
      </w:r>
    </w:p>
    <w:p w14:paraId="3A5761DE" w14:textId="0A5C45C9" w:rsidR="000C2BB9" w:rsidRDefault="000C2BB9" w:rsidP="000C2BB9">
      <w:pPr>
        <w:spacing w:line="360" w:lineRule="auto"/>
        <w:jc w:val="both"/>
        <w:rPr>
          <w:b/>
          <w:bCs/>
        </w:rPr>
      </w:pPr>
      <w:r>
        <w:rPr>
          <w:b/>
          <w:bCs/>
        </w:rPr>
        <w:t>V.I. Program javnih potreba u kulturi</w:t>
      </w:r>
    </w:p>
    <w:p w14:paraId="6934D0FD" w14:textId="5E6446CD" w:rsidR="000C2BB9" w:rsidRDefault="000C2BB9" w:rsidP="000C2BB9">
      <w:pPr>
        <w:spacing w:line="360" w:lineRule="auto"/>
        <w:jc w:val="both"/>
        <w:rPr>
          <w:b/>
          <w:bCs/>
        </w:rPr>
      </w:pPr>
      <w:r>
        <w:rPr>
          <w:b/>
          <w:bCs/>
        </w:rPr>
        <w:t>Tablica 3.</w:t>
      </w:r>
    </w:p>
    <w:tbl>
      <w:tblPr>
        <w:tblW w:w="9990" w:type="dxa"/>
        <w:tblInd w:w="-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9"/>
        <w:gridCol w:w="855"/>
        <w:gridCol w:w="4369"/>
        <w:gridCol w:w="1923"/>
        <w:gridCol w:w="1944"/>
      </w:tblGrid>
      <w:tr w:rsidR="000C2BB9" w14:paraId="30D2A5C0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D61AEB6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Izvor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2B8C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R.br.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82B72DF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2CD1F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Planirano u </w:t>
            </w:r>
          </w:p>
          <w:p w14:paraId="48E3FE9F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2025. godini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ABE3DD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Realizirano </w:t>
            </w:r>
          </w:p>
          <w:p w14:paraId="765187C6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01.01.- 30.06.2025.</w:t>
            </w:r>
          </w:p>
        </w:tc>
      </w:tr>
      <w:tr w:rsidR="000C2BB9" w14:paraId="1F74A9B7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2D831B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59CF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3811A1C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Maraton lađa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D3A20D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110.000,00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FCAC8E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0C2BB9" w14:paraId="7D0B1138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9F9B0F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R070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7686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82BD7FD" w14:textId="77777777" w:rsidR="000C2BB9" w:rsidRDefault="000C2B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Najam razglasa, rasvjete i bine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09A834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869B93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C2BB9" w14:paraId="65C45E5A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CA081BD" w14:textId="77777777" w:rsidR="000C2BB9" w:rsidRDefault="000C2B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R071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F4D2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AC5E8DD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Troškovi koncerta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83588C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35.000,00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E8F323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C2BB9" w14:paraId="45209A83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9649E54" w14:textId="77777777" w:rsidR="000C2BB9" w:rsidRDefault="000C2B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R072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CB1D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2EF0620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Usluge zaštite, noćenja, oglašavanja i dr.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CAFDB9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74850A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C2BB9" w14:paraId="0B1F1D2B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ED4712E" w14:textId="77777777" w:rsidR="000C2BB9" w:rsidRDefault="000C2B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R073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A02C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43B5CC7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Sufinanciranje Udruge lađara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62F8E4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F2F7F4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C2BB9" w14:paraId="2F39501D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3AE9FB6" w14:textId="77777777" w:rsidR="000C2BB9" w:rsidRDefault="000C2B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R-075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DF96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D5B487F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Donacije udrugama lađara sa područja Grada Ploča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F90328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FAF942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C2BB9" w14:paraId="30F94B0D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C33B08" w14:textId="77777777" w:rsidR="000C2BB9" w:rsidRDefault="000C2B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7B39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9D000F7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Udruge građana u kulturi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C1D39B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54.300,00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DFACE9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4.650,00</w:t>
            </w:r>
          </w:p>
        </w:tc>
      </w:tr>
      <w:tr w:rsidR="000C2BB9" w14:paraId="1368EA36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6C0F47B" w14:textId="77777777" w:rsidR="000C2BB9" w:rsidRDefault="000C2B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R076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0CD2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CA88A9D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Javni natječaj za dodjelu financijskih sredstava udrugama u području kulture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DA76F5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12919B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C2BB9" w14:paraId="0F8C5C82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AEDD9AE" w14:textId="77777777" w:rsidR="000C2BB9" w:rsidRDefault="000C2B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R076-1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DAA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612CA5A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Udruga studenata Grada Ploča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E99F23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8ABD49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C2BB9" w14:paraId="69581D1E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6C5A98A" w14:textId="77777777" w:rsidR="000C2BB9" w:rsidRDefault="000C2B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R076-2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E375" w14:textId="77777777" w:rsidR="000C2BB9" w:rsidRDefault="000C2BB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4F3CE8D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Hrvatska seljačka glazba Komin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47E944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9.300,00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C9AB6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4.650,00</w:t>
            </w:r>
          </w:p>
        </w:tc>
      </w:tr>
      <w:tr w:rsidR="000C2BB9" w14:paraId="2C3FBA7C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620267" w14:textId="77777777" w:rsidR="000C2BB9" w:rsidRDefault="000C2B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28F2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746ABBF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PUČKO OTVORENO UČILIŠTE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37A484" w14:textId="77777777" w:rsidR="000C2BB9" w:rsidRDefault="000C2B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174.230,23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AF2588" w14:textId="77777777" w:rsidR="000C2BB9" w:rsidRDefault="000C2B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78.085,97</w:t>
            </w:r>
          </w:p>
        </w:tc>
      </w:tr>
      <w:tr w:rsidR="000C2BB9" w14:paraId="0C85EAA8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E1E610" w14:textId="77777777" w:rsidR="000C2BB9" w:rsidRDefault="000C2BB9">
            <w:pPr>
              <w:snapToGrid w:val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 w:bidi="hi-I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3C470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ED3C13F" w14:textId="77777777" w:rsidR="000C2BB9" w:rsidRDefault="000C2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NARODNA KNJIŽNICA PLOČE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A96F71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133.066,14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252EEB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60.261,19</w:t>
            </w:r>
          </w:p>
        </w:tc>
      </w:tr>
      <w:tr w:rsidR="000C2BB9" w14:paraId="072465A8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87D71F" w14:textId="77777777" w:rsidR="000C2BB9" w:rsidRDefault="000C2B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A8E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69EE7F90" w14:textId="77777777" w:rsidR="000C2BB9" w:rsidRDefault="000C2B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UKUPNO(I.+II.+III.+IV.)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09951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471.596,37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6A8BF" w14:textId="77777777" w:rsidR="000C2BB9" w:rsidRDefault="000C2BB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142.997,16</w:t>
            </w:r>
          </w:p>
        </w:tc>
      </w:tr>
    </w:tbl>
    <w:p w14:paraId="767D677C" w14:textId="77777777" w:rsidR="000C2BB9" w:rsidRPr="000C2BB9" w:rsidRDefault="000C2BB9" w:rsidP="000C2BB9">
      <w:pPr>
        <w:spacing w:line="360" w:lineRule="auto"/>
        <w:jc w:val="both"/>
        <w:rPr>
          <w:b/>
          <w:bCs/>
        </w:rPr>
      </w:pPr>
    </w:p>
    <w:p w14:paraId="61566068" w14:textId="77777777" w:rsidR="000E7845" w:rsidRDefault="000E7845" w:rsidP="00861FBD">
      <w:pPr>
        <w:jc w:val="both"/>
      </w:pPr>
    </w:p>
    <w:p w14:paraId="02618D5F" w14:textId="77777777" w:rsidR="000E7845" w:rsidRPr="00B76AC2" w:rsidRDefault="000E7845" w:rsidP="00861FBD">
      <w:pPr>
        <w:jc w:val="both"/>
      </w:pPr>
    </w:p>
    <w:p w14:paraId="057A3B55" w14:textId="77777777" w:rsidR="0047425B" w:rsidRPr="0047425B" w:rsidRDefault="0047425B" w:rsidP="0047425B">
      <w:pPr>
        <w:jc w:val="both"/>
      </w:pPr>
    </w:p>
    <w:p w14:paraId="07889EDD" w14:textId="77777777" w:rsidR="00C01A66" w:rsidRDefault="00C01A66" w:rsidP="00C01A66">
      <w:pPr>
        <w:jc w:val="both"/>
      </w:pPr>
    </w:p>
    <w:p w14:paraId="1BA6EEA1" w14:textId="77777777" w:rsidR="00C01A66" w:rsidRDefault="00C01A66" w:rsidP="00C01A66">
      <w:pPr>
        <w:jc w:val="both"/>
      </w:pPr>
    </w:p>
    <w:p w14:paraId="5E28BBED" w14:textId="38E86752" w:rsidR="00C01A66" w:rsidRDefault="000C2BB9" w:rsidP="00C01A66">
      <w:pPr>
        <w:tabs>
          <w:tab w:val="left" w:pos="5520"/>
        </w:tabs>
        <w:rPr>
          <w:b/>
          <w:bCs/>
        </w:rPr>
      </w:pPr>
      <w:r w:rsidRPr="000C2BB9">
        <w:rPr>
          <w:b/>
          <w:bCs/>
        </w:rPr>
        <w:lastRenderedPageBreak/>
        <w:t xml:space="preserve">V.II. Program </w:t>
      </w:r>
      <w:r>
        <w:rPr>
          <w:b/>
          <w:bCs/>
        </w:rPr>
        <w:t xml:space="preserve">javnih potreba u socijalnoj skrbi </w:t>
      </w:r>
    </w:p>
    <w:p w14:paraId="1472DB8E" w14:textId="277F2CE3" w:rsidR="000C2BB9" w:rsidRDefault="000C2BB9" w:rsidP="00C01A66">
      <w:pPr>
        <w:tabs>
          <w:tab w:val="left" w:pos="5520"/>
        </w:tabs>
        <w:rPr>
          <w:b/>
          <w:bCs/>
        </w:rPr>
      </w:pPr>
      <w:r>
        <w:rPr>
          <w:b/>
          <w:bCs/>
        </w:rPr>
        <w:t>Tablica 4.</w:t>
      </w:r>
    </w:p>
    <w:tbl>
      <w:tblPr>
        <w:tblW w:w="105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4"/>
        <w:gridCol w:w="671"/>
        <w:gridCol w:w="4574"/>
        <w:gridCol w:w="1973"/>
        <w:gridCol w:w="2282"/>
      </w:tblGrid>
      <w:tr w:rsidR="000C2BB9" w:rsidRPr="006822FD" w14:paraId="0B18DC4A" w14:textId="77777777" w:rsidTr="00436484">
        <w:trPr>
          <w:jc w:val="center"/>
        </w:trPr>
        <w:tc>
          <w:tcPr>
            <w:tcW w:w="1024" w:type="dxa"/>
          </w:tcPr>
          <w:p w14:paraId="07BDA3AF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671" w:type="dxa"/>
          </w:tcPr>
          <w:p w14:paraId="113D2B19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574" w:type="dxa"/>
          </w:tcPr>
          <w:p w14:paraId="72AB0C3C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270155CE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Planirano u 202</w:t>
            </w:r>
            <w:r>
              <w:rPr>
                <w:rFonts w:ascii="Times New Roman" w:hAnsi="Times New Roman" w:cs="Times New Roman"/>
              </w:rPr>
              <w:t>5</w:t>
            </w:r>
            <w:r w:rsidRPr="006822FD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9458AFC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Realizirano </w:t>
            </w:r>
          </w:p>
          <w:p w14:paraId="7BF1ECDD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01.01.- </w:t>
            </w:r>
            <w:r>
              <w:rPr>
                <w:rFonts w:ascii="Times New Roman" w:hAnsi="Times New Roman" w:cs="Times New Roman"/>
              </w:rPr>
              <w:t>30.06</w:t>
            </w:r>
            <w:r w:rsidRPr="006822F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</w:tr>
      <w:tr w:rsidR="000C2BB9" w:rsidRPr="006822FD" w14:paraId="640F3510" w14:textId="77777777" w:rsidTr="00436484">
        <w:trPr>
          <w:jc w:val="center"/>
        </w:trPr>
        <w:tc>
          <w:tcPr>
            <w:tcW w:w="1024" w:type="dxa"/>
          </w:tcPr>
          <w:p w14:paraId="53C7BC0D" w14:textId="77777777" w:rsidR="000C2BB9" w:rsidRPr="006822FD" w:rsidRDefault="000C2BB9" w:rsidP="0043648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0862F44" w14:textId="77777777" w:rsidR="000C2BB9" w:rsidRPr="00E9605D" w:rsidRDefault="000C2BB9" w:rsidP="0043648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574" w:type="dxa"/>
            <w:tcBorders>
              <w:right w:val="single" w:sz="4" w:space="0" w:color="auto"/>
            </w:tcBorders>
          </w:tcPr>
          <w:p w14:paraId="26D016CD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Financiranje javnih potreba u socijalnoj skrbi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7ACF" w14:textId="77777777" w:rsidR="000C2BB9" w:rsidRPr="00D67CF4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D67CF4">
              <w:rPr>
                <w:rFonts w:ascii="Times New Roman" w:hAnsi="Times New Roman" w:cs="Times New Roman"/>
                <w:b/>
                <w:bCs/>
              </w:rPr>
              <w:t>58.</w:t>
            </w:r>
            <w:r>
              <w:rPr>
                <w:rFonts w:ascii="Times New Roman" w:hAnsi="Times New Roman" w:cs="Times New Roman"/>
                <w:b/>
                <w:bCs/>
              </w:rPr>
              <w:t>500</w:t>
            </w:r>
            <w:r w:rsidRPr="00D67CF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F23D9" w14:textId="77777777" w:rsidR="000C2BB9" w:rsidRPr="00D67CF4" w:rsidRDefault="000C2BB9" w:rsidP="0043648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117.044,39</w:t>
            </w:r>
          </w:p>
        </w:tc>
      </w:tr>
      <w:tr w:rsidR="000C2BB9" w:rsidRPr="006822FD" w14:paraId="0906ECA7" w14:textId="77777777" w:rsidTr="00436484">
        <w:trPr>
          <w:jc w:val="center"/>
        </w:trPr>
        <w:tc>
          <w:tcPr>
            <w:tcW w:w="1024" w:type="dxa"/>
          </w:tcPr>
          <w:p w14:paraId="3673A31F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R085</w:t>
            </w:r>
          </w:p>
        </w:tc>
        <w:tc>
          <w:tcPr>
            <w:tcW w:w="671" w:type="dxa"/>
          </w:tcPr>
          <w:p w14:paraId="0D459CDA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4" w:type="dxa"/>
          </w:tcPr>
          <w:p w14:paraId="429F20B3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Pomoć za školovanje djece bez oba roditelja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6DB65422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6822F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6C685C8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10023E97" w14:textId="77777777" w:rsidTr="00436484">
        <w:trPr>
          <w:jc w:val="center"/>
        </w:trPr>
        <w:tc>
          <w:tcPr>
            <w:tcW w:w="1024" w:type="dxa"/>
          </w:tcPr>
          <w:p w14:paraId="69B16F79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R086</w:t>
            </w:r>
          </w:p>
        </w:tc>
        <w:tc>
          <w:tcPr>
            <w:tcW w:w="671" w:type="dxa"/>
          </w:tcPr>
          <w:p w14:paraId="570E669F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4" w:type="dxa"/>
          </w:tcPr>
          <w:p w14:paraId="5E83D0A7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Pomoć za novorođeno dijete </w:t>
            </w:r>
          </w:p>
        </w:tc>
        <w:tc>
          <w:tcPr>
            <w:tcW w:w="1973" w:type="dxa"/>
          </w:tcPr>
          <w:p w14:paraId="01E89048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2282" w:type="dxa"/>
          </w:tcPr>
          <w:p w14:paraId="51F3C610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28.000,00</w:t>
            </w:r>
          </w:p>
        </w:tc>
      </w:tr>
      <w:tr w:rsidR="000C2BB9" w:rsidRPr="006822FD" w14:paraId="47D80CBD" w14:textId="77777777" w:rsidTr="00436484">
        <w:trPr>
          <w:jc w:val="center"/>
        </w:trPr>
        <w:tc>
          <w:tcPr>
            <w:tcW w:w="1024" w:type="dxa"/>
          </w:tcPr>
          <w:p w14:paraId="4127EB1E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R087</w:t>
            </w:r>
          </w:p>
        </w:tc>
        <w:tc>
          <w:tcPr>
            <w:tcW w:w="671" w:type="dxa"/>
          </w:tcPr>
          <w:p w14:paraId="3373A395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4" w:type="dxa"/>
          </w:tcPr>
          <w:p w14:paraId="7657621E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studenata</w:t>
            </w:r>
          </w:p>
        </w:tc>
        <w:tc>
          <w:tcPr>
            <w:tcW w:w="1973" w:type="dxa"/>
          </w:tcPr>
          <w:p w14:paraId="115C14AF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42.000,00</w:t>
            </w:r>
          </w:p>
        </w:tc>
        <w:tc>
          <w:tcPr>
            <w:tcW w:w="2282" w:type="dxa"/>
          </w:tcPr>
          <w:p w14:paraId="149233C0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32.760,00</w:t>
            </w:r>
          </w:p>
        </w:tc>
      </w:tr>
      <w:tr w:rsidR="000C2BB9" w:rsidRPr="006822FD" w14:paraId="3F0BF198" w14:textId="77777777" w:rsidTr="00436484">
        <w:trPr>
          <w:jc w:val="center"/>
        </w:trPr>
        <w:tc>
          <w:tcPr>
            <w:tcW w:w="1024" w:type="dxa"/>
          </w:tcPr>
          <w:p w14:paraId="466D8D25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R088</w:t>
            </w:r>
          </w:p>
        </w:tc>
        <w:tc>
          <w:tcPr>
            <w:tcW w:w="671" w:type="dxa"/>
          </w:tcPr>
          <w:p w14:paraId="73CCA027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4" w:type="dxa"/>
          </w:tcPr>
          <w:p w14:paraId="0C28DE99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Jednokratne novčane pomoći</w:t>
            </w:r>
          </w:p>
        </w:tc>
        <w:tc>
          <w:tcPr>
            <w:tcW w:w="1973" w:type="dxa"/>
          </w:tcPr>
          <w:p w14:paraId="16F052C0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1CA347F3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10.245,65</w:t>
            </w:r>
          </w:p>
        </w:tc>
      </w:tr>
      <w:tr w:rsidR="000C2BB9" w:rsidRPr="006822FD" w14:paraId="74EF2552" w14:textId="77777777" w:rsidTr="00436484">
        <w:trPr>
          <w:jc w:val="center"/>
        </w:trPr>
        <w:tc>
          <w:tcPr>
            <w:tcW w:w="1024" w:type="dxa"/>
          </w:tcPr>
          <w:p w14:paraId="48403686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R089</w:t>
            </w:r>
          </w:p>
        </w:tc>
        <w:tc>
          <w:tcPr>
            <w:tcW w:w="671" w:type="dxa"/>
          </w:tcPr>
          <w:p w14:paraId="62789881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4" w:type="dxa"/>
          </w:tcPr>
          <w:p w14:paraId="477F874C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studentima sa invaliditetom</w:t>
            </w:r>
          </w:p>
        </w:tc>
        <w:tc>
          <w:tcPr>
            <w:tcW w:w="1973" w:type="dxa"/>
          </w:tcPr>
          <w:p w14:paraId="027640CF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0DA102A5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1.260,00</w:t>
            </w:r>
          </w:p>
        </w:tc>
      </w:tr>
      <w:tr w:rsidR="000C2BB9" w:rsidRPr="006822FD" w14:paraId="08C9E105" w14:textId="77777777" w:rsidTr="00436484">
        <w:trPr>
          <w:jc w:val="center"/>
        </w:trPr>
        <w:tc>
          <w:tcPr>
            <w:tcW w:w="1024" w:type="dxa"/>
          </w:tcPr>
          <w:p w14:paraId="1577A02C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R090</w:t>
            </w:r>
          </w:p>
        </w:tc>
        <w:tc>
          <w:tcPr>
            <w:tcW w:w="671" w:type="dxa"/>
          </w:tcPr>
          <w:p w14:paraId="29486252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4" w:type="dxa"/>
          </w:tcPr>
          <w:p w14:paraId="58F0AF51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Naknade za troškove stanovanja</w:t>
            </w:r>
          </w:p>
        </w:tc>
        <w:tc>
          <w:tcPr>
            <w:tcW w:w="1973" w:type="dxa"/>
          </w:tcPr>
          <w:p w14:paraId="248293DD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282" w:type="dxa"/>
          </w:tcPr>
          <w:p w14:paraId="406F4C2B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2.127,00</w:t>
            </w:r>
          </w:p>
        </w:tc>
      </w:tr>
      <w:tr w:rsidR="000C2BB9" w:rsidRPr="006822FD" w14:paraId="02F2D55C" w14:textId="77777777" w:rsidTr="00436484">
        <w:trPr>
          <w:jc w:val="center"/>
        </w:trPr>
        <w:tc>
          <w:tcPr>
            <w:tcW w:w="1024" w:type="dxa"/>
          </w:tcPr>
          <w:p w14:paraId="43CA36A9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R091</w:t>
            </w:r>
          </w:p>
        </w:tc>
        <w:tc>
          <w:tcPr>
            <w:tcW w:w="671" w:type="dxa"/>
          </w:tcPr>
          <w:p w14:paraId="3F9FD3ED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74" w:type="dxa"/>
          </w:tcPr>
          <w:p w14:paraId="7191FF77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nabave školskog pribora</w:t>
            </w:r>
          </w:p>
        </w:tc>
        <w:tc>
          <w:tcPr>
            <w:tcW w:w="1973" w:type="dxa"/>
          </w:tcPr>
          <w:p w14:paraId="0902664E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2282" w:type="dxa"/>
          </w:tcPr>
          <w:p w14:paraId="3C1B6B5E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358FCA55" w14:textId="77777777" w:rsidTr="00436484">
        <w:trPr>
          <w:jc w:val="center"/>
        </w:trPr>
        <w:tc>
          <w:tcPr>
            <w:tcW w:w="1024" w:type="dxa"/>
          </w:tcPr>
          <w:p w14:paraId="38EFE697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R092</w:t>
            </w:r>
          </w:p>
        </w:tc>
        <w:tc>
          <w:tcPr>
            <w:tcW w:w="671" w:type="dxa"/>
          </w:tcPr>
          <w:p w14:paraId="666E033A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74" w:type="dxa"/>
          </w:tcPr>
          <w:p w14:paraId="257EA6C8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Sufinanciranje utroška vode i odvoza kućnog otpada </w:t>
            </w:r>
          </w:p>
        </w:tc>
        <w:tc>
          <w:tcPr>
            <w:tcW w:w="1973" w:type="dxa"/>
          </w:tcPr>
          <w:p w14:paraId="06D110EA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282" w:type="dxa"/>
          </w:tcPr>
          <w:p w14:paraId="1D8294B6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173,57</w:t>
            </w:r>
          </w:p>
        </w:tc>
      </w:tr>
      <w:tr w:rsidR="000C2BB9" w:rsidRPr="006822FD" w14:paraId="0CA7A65A" w14:textId="77777777" w:rsidTr="00436484">
        <w:trPr>
          <w:jc w:val="center"/>
        </w:trPr>
        <w:tc>
          <w:tcPr>
            <w:tcW w:w="1024" w:type="dxa"/>
          </w:tcPr>
          <w:p w14:paraId="6851EBE7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R093</w:t>
            </w:r>
          </w:p>
        </w:tc>
        <w:tc>
          <w:tcPr>
            <w:tcW w:w="671" w:type="dxa"/>
          </w:tcPr>
          <w:p w14:paraId="29D3F2A2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74" w:type="dxa"/>
          </w:tcPr>
          <w:p w14:paraId="430FF20A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Sufinanciranje prijevoza </w:t>
            </w:r>
            <w:r>
              <w:rPr>
                <w:rFonts w:ascii="Times New Roman" w:hAnsi="Times New Roman" w:cs="Times New Roman"/>
              </w:rPr>
              <w:t>učenika</w:t>
            </w:r>
          </w:p>
        </w:tc>
        <w:tc>
          <w:tcPr>
            <w:tcW w:w="1973" w:type="dxa"/>
          </w:tcPr>
          <w:p w14:paraId="55C54485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44.000,00</w:t>
            </w:r>
          </w:p>
        </w:tc>
        <w:tc>
          <w:tcPr>
            <w:tcW w:w="2282" w:type="dxa"/>
          </w:tcPr>
          <w:p w14:paraId="0BE288D2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19.680,69</w:t>
            </w:r>
          </w:p>
        </w:tc>
      </w:tr>
      <w:tr w:rsidR="000C2BB9" w:rsidRPr="006822FD" w14:paraId="412DDCB1" w14:textId="77777777" w:rsidTr="00436484">
        <w:trPr>
          <w:jc w:val="center"/>
        </w:trPr>
        <w:tc>
          <w:tcPr>
            <w:tcW w:w="1024" w:type="dxa"/>
          </w:tcPr>
          <w:p w14:paraId="16A577CE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R093-1</w:t>
            </w:r>
          </w:p>
        </w:tc>
        <w:tc>
          <w:tcPr>
            <w:tcW w:w="671" w:type="dxa"/>
          </w:tcPr>
          <w:p w14:paraId="64F1DAA6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74" w:type="dxa"/>
          </w:tcPr>
          <w:p w14:paraId="2D5DF0B7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lokalnog prijevoza</w:t>
            </w:r>
          </w:p>
        </w:tc>
        <w:tc>
          <w:tcPr>
            <w:tcW w:w="1973" w:type="dxa"/>
          </w:tcPr>
          <w:p w14:paraId="07E8713A" w14:textId="77777777" w:rsidR="000C2BB9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2282" w:type="dxa"/>
          </w:tcPr>
          <w:p w14:paraId="7B4C8240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4.827,48</w:t>
            </w:r>
          </w:p>
        </w:tc>
      </w:tr>
      <w:tr w:rsidR="000C2BB9" w:rsidRPr="006822FD" w14:paraId="599400B0" w14:textId="77777777" w:rsidTr="00436484">
        <w:trPr>
          <w:jc w:val="center"/>
        </w:trPr>
        <w:tc>
          <w:tcPr>
            <w:tcW w:w="1024" w:type="dxa"/>
          </w:tcPr>
          <w:p w14:paraId="17784D7E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R094</w:t>
            </w:r>
          </w:p>
        </w:tc>
        <w:tc>
          <w:tcPr>
            <w:tcW w:w="671" w:type="dxa"/>
          </w:tcPr>
          <w:p w14:paraId="7D41906B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574E5B2C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priključka struje i vode-branitelji</w:t>
            </w:r>
          </w:p>
        </w:tc>
        <w:tc>
          <w:tcPr>
            <w:tcW w:w="1973" w:type="dxa"/>
          </w:tcPr>
          <w:p w14:paraId="740C7C06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282" w:type="dxa"/>
          </w:tcPr>
          <w:p w14:paraId="1DFEF89A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2BE4DE5F" w14:textId="77777777" w:rsidTr="00436484">
        <w:trPr>
          <w:jc w:val="center"/>
        </w:trPr>
        <w:tc>
          <w:tcPr>
            <w:tcW w:w="1024" w:type="dxa"/>
          </w:tcPr>
          <w:p w14:paraId="1DEB4A7D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R094-1</w:t>
            </w:r>
          </w:p>
        </w:tc>
        <w:tc>
          <w:tcPr>
            <w:tcW w:w="671" w:type="dxa"/>
          </w:tcPr>
          <w:p w14:paraId="66955C20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74" w:type="dxa"/>
          </w:tcPr>
          <w:p w14:paraId="0AFC12BE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cijene vodoopskrbne usluge</w:t>
            </w:r>
          </w:p>
        </w:tc>
        <w:tc>
          <w:tcPr>
            <w:tcW w:w="1973" w:type="dxa"/>
          </w:tcPr>
          <w:p w14:paraId="0367B1B5" w14:textId="77777777" w:rsidR="000C2BB9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2282" w:type="dxa"/>
          </w:tcPr>
          <w:p w14:paraId="3C192673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6F8717DC" w14:textId="77777777" w:rsidTr="00436484">
        <w:trPr>
          <w:jc w:val="center"/>
        </w:trPr>
        <w:tc>
          <w:tcPr>
            <w:tcW w:w="1024" w:type="dxa"/>
          </w:tcPr>
          <w:p w14:paraId="0633BF20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R095</w:t>
            </w:r>
          </w:p>
        </w:tc>
        <w:tc>
          <w:tcPr>
            <w:tcW w:w="671" w:type="dxa"/>
          </w:tcPr>
          <w:p w14:paraId="0A37F596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74" w:type="dxa"/>
          </w:tcPr>
          <w:p w14:paraId="1FD52F7F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Naknada za troškove električne energije</w:t>
            </w:r>
          </w:p>
        </w:tc>
        <w:tc>
          <w:tcPr>
            <w:tcW w:w="1973" w:type="dxa"/>
          </w:tcPr>
          <w:p w14:paraId="508BD0DC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.500,00</w:t>
            </w:r>
          </w:p>
        </w:tc>
        <w:tc>
          <w:tcPr>
            <w:tcW w:w="2282" w:type="dxa"/>
          </w:tcPr>
          <w:p w14:paraId="1ED86AD4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4C05C9D6" w14:textId="77777777" w:rsidTr="00436484">
        <w:trPr>
          <w:jc w:val="center"/>
        </w:trPr>
        <w:tc>
          <w:tcPr>
            <w:tcW w:w="1024" w:type="dxa"/>
          </w:tcPr>
          <w:p w14:paraId="2CAB52C0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R095-1</w:t>
            </w:r>
          </w:p>
        </w:tc>
        <w:tc>
          <w:tcPr>
            <w:tcW w:w="671" w:type="dxa"/>
          </w:tcPr>
          <w:p w14:paraId="43926518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74" w:type="dxa"/>
          </w:tcPr>
          <w:p w14:paraId="623D1F49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proofErr w:type="spellStart"/>
            <w:r w:rsidRPr="006822FD">
              <w:rPr>
                <w:rFonts w:ascii="Times New Roman" w:hAnsi="Times New Roman" w:cs="Times New Roman"/>
              </w:rPr>
              <w:t>Uskrsnica</w:t>
            </w:r>
            <w:proofErr w:type="spellEnd"/>
            <w:r w:rsidRPr="006822FD">
              <w:rPr>
                <w:rFonts w:ascii="Times New Roman" w:hAnsi="Times New Roman" w:cs="Times New Roman"/>
              </w:rPr>
              <w:t xml:space="preserve"> i božićnica za umirovljenike i nezaposlenim osobama</w:t>
            </w:r>
          </w:p>
        </w:tc>
        <w:tc>
          <w:tcPr>
            <w:tcW w:w="1973" w:type="dxa"/>
          </w:tcPr>
          <w:p w14:paraId="5DE61DFE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282" w:type="dxa"/>
          </w:tcPr>
          <w:p w14:paraId="60197762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17.970,00</w:t>
            </w:r>
          </w:p>
        </w:tc>
      </w:tr>
      <w:tr w:rsidR="000C2BB9" w:rsidRPr="006822FD" w14:paraId="008CF247" w14:textId="77777777" w:rsidTr="00436484">
        <w:trPr>
          <w:jc w:val="center"/>
        </w:trPr>
        <w:tc>
          <w:tcPr>
            <w:tcW w:w="1024" w:type="dxa"/>
          </w:tcPr>
          <w:p w14:paraId="151CEB6A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R095-2</w:t>
            </w:r>
          </w:p>
        </w:tc>
        <w:tc>
          <w:tcPr>
            <w:tcW w:w="671" w:type="dxa"/>
          </w:tcPr>
          <w:p w14:paraId="117FFEBA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74" w:type="dxa"/>
          </w:tcPr>
          <w:p w14:paraId="765BE867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smještaja u Dječjem vrtiću</w:t>
            </w:r>
          </w:p>
        </w:tc>
        <w:tc>
          <w:tcPr>
            <w:tcW w:w="1973" w:type="dxa"/>
          </w:tcPr>
          <w:p w14:paraId="3EEFB885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0D869EF6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4508C8F1" w14:textId="77777777" w:rsidTr="00436484">
        <w:trPr>
          <w:jc w:val="center"/>
        </w:trPr>
        <w:tc>
          <w:tcPr>
            <w:tcW w:w="1024" w:type="dxa"/>
          </w:tcPr>
          <w:p w14:paraId="3A373608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R095-3</w:t>
            </w:r>
          </w:p>
        </w:tc>
        <w:tc>
          <w:tcPr>
            <w:tcW w:w="671" w:type="dxa"/>
          </w:tcPr>
          <w:p w14:paraId="73209923" w14:textId="77777777" w:rsidR="000C2BB9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14:paraId="449FBCEA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troškova postupka umjetne oplodnje</w:t>
            </w:r>
          </w:p>
        </w:tc>
        <w:tc>
          <w:tcPr>
            <w:tcW w:w="1973" w:type="dxa"/>
          </w:tcPr>
          <w:p w14:paraId="3F1F37BF" w14:textId="77777777" w:rsidR="000C2BB9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2282" w:type="dxa"/>
          </w:tcPr>
          <w:p w14:paraId="2BAA72F4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77113069" w14:textId="77777777" w:rsidTr="00436484">
        <w:trPr>
          <w:jc w:val="center"/>
        </w:trPr>
        <w:tc>
          <w:tcPr>
            <w:tcW w:w="1024" w:type="dxa"/>
          </w:tcPr>
          <w:p w14:paraId="7D119845" w14:textId="77777777" w:rsidR="000C2BB9" w:rsidRPr="006822FD" w:rsidRDefault="000C2BB9" w:rsidP="0043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lastRenderedPageBreak/>
              <w:t>R096</w:t>
            </w:r>
          </w:p>
        </w:tc>
        <w:tc>
          <w:tcPr>
            <w:tcW w:w="671" w:type="dxa"/>
          </w:tcPr>
          <w:p w14:paraId="270B7D4A" w14:textId="77777777" w:rsidR="000C2BB9" w:rsidRPr="006822FD" w:rsidRDefault="000C2BB9" w:rsidP="0043648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74" w:type="dxa"/>
          </w:tcPr>
          <w:p w14:paraId="7ED23AD9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natječaj za dodjelu financijskih sredstava udrugama u području socijalne skrbi i zdravstva</w:t>
            </w:r>
          </w:p>
        </w:tc>
        <w:tc>
          <w:tcPr>
            <w:tcW w:w="1973" w:type="dxa"/>
          </w:tcPr>
          <w:p w14:paraId="62289529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49EF2953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3DD2F93A" w14:textId="77777777" w:rsidTr="00436484">
        <w:trPr>
          <w:jc w:val="center"/>
        </w:trPr>
        <w:tc>
          <w:tcPr>
            <w:tcW w:w="1024" w:type="dxa"/>
          </w:tcPr>
          <w:p w14:paraId="697B357C" w14:textId="77777777" w:rsidR="000C2BB9" w:rsidRPr="006822FD" w:rsidRDefault="000C2BB9" w:rsidP="0043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6BFD44D" w14:textId="77777777" w:rsidR="000C2BB9" w:rsidRPr="00E9605D" w:rsidRDefault="000C2BB9" w:rsidP="0043648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4574" w:type="dxa"/>
          </w:tcPr>
          <w:p w14:paraId="78406A48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Donacija – ATT d.o.o.</w:t>
            </w:r>
          </w:p>
        </w:tc>
        <w:tc>
          <w:tcPr>
            <w:tcW w:w="1973" w:type="dxa"/>
          </w:tcPr>
          <w:p w14:paraId="5A3A43F7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9.000</w:t>
            </w:r>
            <w:r w:rsidRPr="006822FD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</w:tcPr>
          <w:p w14:paraId="084E45A8" w14:textId="77777777" w:rsidR="000C2BB9" w:rsidRPr="00C45327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8.100,00</w:t>
            </w:r>
          </w:p>
        </w:tc>
      </w:tr>
      <w:tr w:rsidR="000C2BB9" w:rsidRPr="006822FD" w14:paraId="2F898DDA" w14:textId="77777777" w:rsidTr="00436484">
        <w:trPr>
          <w:jc w:val="center"/>
        </w:trPr>
        <w:tc>
          <w:tcPr>
            <w:tcW w:w="1024" w:type="dxa"/>
          </w:tcPr>
          <w:p w14:paraId="61AFEC93" w14:textId="77777777" w:rsidR="000C2BB9" w:rsidRPr="006822FD" w:rsidRDefault="000C2BB9" w:rsidP="0043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R098</w:t>
            </w:r>
          </w:p>
        </w:tc>
        <w:tc>
          <w:tcPr>
            <w:tcW w:w="671" w:type="dxa"/>
          </w:tcPr>
          <w:p w14:paraId="3513C0AF" w14:textId="77777777" w:rsidR="000C2BB9" w:rsidRPr="006822FD" w:rsidRDefault="000C2BB9" w:rsidP="0043648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4" w:type="dxa"/>
          </w:tcPr>
          <w:p w14:paraId="51D3C806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studenata</w:t>
            </w:r>
          </w:p>
        </w:tc>
        <w:tc>
          <w:tcPr>
            <w:tcW w:w="1973" w:type="dxa"/>
          </w:tcPr>
          <w:p w14:paraId="44AD6ED6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4C81EDB8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8.100,00</w:t>
            </w:r>
          </w:p>
        </w:tc>
      </w:tr>
      <w:tr w:rsidR="000C2BB9" w:rsidRPr="006822FD" w14:paraId="5CA0172B" w14:textId="77777777" w:rsidTr="00436484">
        <w:trPr>
          <w:jc w:val="center"/>
        </w:trPr>
        <w:tc>
          <w:tcPr>
            <w:tcW w:w="1024" w:type="dxa"/>
          </w:tcPr>
          <w:p w14:paraId="4B13AE26" w14:textId="77777777" w:rsidR="000C2BB9" w:rsidRPr="006822FD" w:rsidRDefault="000C2BB9" w:rsidP="0043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D0CCC5C" w14:textId="77777777" w:rsidR="000C2BB9" w:rsidRPr="00E9605D" w:rsidRDefault="000C2BB9" w:rsidP="0043648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4574" w:type="dxa"/>
          </w:tcPr>
          <w:p w14:paraId="7F08B61E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Prijevoz osoba s posebnim potrebama</w:t>
            </w:r>
          </w:p>
        </w:tc>
        <w:tc>
          <w:tcPr>
            <w:tcW w:w="1973" w:type="dxa"/>
          </w:tcPr>
          <w:p w14:paraId="0C3F8ECB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7.050,</w:t>
            </w:r>
            <w:r w:rsidRPr="006822FD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282" w:type="dxa"/>
          </w:tcPr>
          <w:p w14:paraId="7D55B8D1" w14:textId="77777777" w:rsidR="000C2BB9" w:rsidRPr="00E9605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3.415,53</w:t>
            </w:r>
          </w:p>
        </w:tc>
      </w:tr>
      <w:tr w:rsidR="000C2BB9" w:rsidRPr="006822FD" w14:paraId="76219433" w14:textId="77777777" w:rsidTr="00436484">
        <w:trPr>
          <w:jc w:val="center"/>
        </w:trPr>
        <w:tc>
          <w:tcPr>
            <w:tcW w:w="1024" w:type="dxa"/>
          </w:tcPr>
          <w:p w14:paraId="04A5C689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R099</w:t>
            </w:r>
          </w:p>
        </w:tc>
        <w:tc>
          <w:tcPr>
            <w:tcW w:w="671" w:type="dxa"/>
          </w:tcPr>
          <w:p w14:paraId="66BE172F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74" w:type="dxa"/>
          </w:tcPr>
          <w:p w14:paraId="258C66BA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Gorivo</w:t>
            </w:r>
          </w:p>
        </w:tc>
        <w:tc>
          <w:tcPr>
            <w:tcW w:w="1973" w:type="dxa"/>
          </w:tcPr>
          <w:p w14:paraId="164DC2B1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282" w:type="dxa"/>
          </w:tcPr>
          <w:p w14:paraId="4032C0F7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1.130,34</w:t>
            </w:r>
          </w:p>
        </w:tc>
      </w:tr>
      <w:tr w:rsidR="000C2BB9" w:rsidRPr="006822FD" w14:paraId="7DD6D9CD" w14:textId="77777777" w:rsidTr="00436484">
        <w:trPr>
          <w:jc w:val="center"/>
        </w:trPr>
        <w:tc>
          <w:tcPr>
            <w:tcW w:w="1024" w:type="dxa"/>
          </w:tcPr>
          <w:p w14:paraId="013F6BE1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R100</w:t>
            </w:r>
          </w:p>
        </w:tc>
        <w:tc>
          <w:tcPr>
            <w:tcW w:w="671" w:type="dxa"/>
          </w:tcPr>
          <w:p w14:paraId="791A5A3F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74" w:type="dxa"/>
          </w:tcPr>
          <w:p w14:paraId="030515FB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Materijal i dijelovi za tekuće i investicijsko održavanje</w:t>
            </w:r>
          </w:p>
        </w:tc>
        <w:tc>
          <w:tcPr>
            <w:tcW w:w="1973" w:type="dxa"/>
          </w:tcPr>
          <w:p w14:paraId="7528FD32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2282" w:type="dxa"/>
          </w:tcPr>
          <w:p w14:paraId="40865E27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2.083,35</w:t>
            </w:r>
          </w:p>
        </w:tc>
      </w:tr>
      <w:tr w:rsidR="000C2BB9" w:rsidRPr="006822FD" w14:paraId="6D8D72E2" w14:textId="77777777" w:rsidTr="00436484">
        <w:trPr>
          <w:jc w:val="center"/>
        </w:trPr>
        <w:tc>
          <w:tcPr>
            <w:tcW w:w="1024" w:type="dxa"/>
          </w:tcPr>
          <w:p w14:paraId="366E934C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R101</w:t>
            </w:r>
          </w:p>
        </w:tc>
        <w:tc>
          <w:tcPr>
            <w:tcW w:w="671" w:type="dxa"/>
          </w:tcPr>
          <w:p w14:paraId="4B158DF8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74" w:type="dxa"/>
          </w:tcPr>
          <w:p w14:paraId="14F44840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Ostale usluge</w:t>
            </w:r>
          </w:p>
        </w:tc>
        <w:tc>
          <w:tcPr>
            <w:tcW w:w="1973" w:type="dxa"/>
          </w:tcPr>
          <w:p w14:paraId="7A847AF7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476E4D04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06871BAF" w14:textId="77777777" w:rsidTr="00436484">
        <w:trPr>
          <w:jc w:val="center"/>
        </w:trPr>
        <w:tc>
          <w:tcPr>
            <w:tcW w:w="1024" w:type="dxa"/>
          </w:tcPr>
          <w:p w14:paraId="667D3F89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R102</w:t>
            </w:r>
          </w:p>
        </w:tc>
        <w:tc>
          <w:tcPr>
            <w:tcW w:w="671" w:type="dxa"/>
          </w:tcPr>
          <w:p w14:paraId="6DFB5949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74" w:type="dxa"/>
          </w:tcPr>
          <w:p w14:paraId="5E9D42A6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Premije osiguranja </w:t>
            </w:r>
          </w:p>
        </w:tc>
        <w:tc>
          <w:tcPr>
            <w:tcW w:w="1973" w:type="dxa"/>
          </w:tcPr>
          <w:p w14:paraId="5212C155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348FAA5A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201,84</w:t>
            </w:r>
          </w:p>
        </w:tc>
      </w:tr>
      <w:tr w:rsidR="000C2BB9" w:rsidRPr="006822FD" w14:paraId="2F88441D" w14:textId="77777777" w:rsidTr="00436484">
        <w:trPr>
          <w:jc w:val="center"/>
        </w:trPr>
        <w:tc>
          <w:tcPr>
            <w:tcW w:w="1024" w:type="dxa"/>
          </w:tcPr>
          <w:p w14:paraId="083DCC03" w14:textId="77777777" w:rsidR="000C2BB9" w:rsidRPr="006822FD" w:rsidRDefault="000C2BB9" w:rsidP="0043648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</w:tcPr>
          <w:p w14:paraId="45C854D9" w14:textId="77777777" w:rsidR="000C2BB9" w:rsidRPr="006822FD" w:rsidRDefault="000C2BB9" w:rsidP="0043648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4574" w:type="dxa"/>
          </w:tcPr>
          <w:p w14:paraId="316BE6CB" w14:textId="77777777" w:rsidR="000C2BB9" w:rsidRPr="006822FD" w:rsidRDefault="000C2BB9" w:rsidP="00436484">
            <w:pPr>
              <w:rPr>
                <w:rFonts w:ascii="Times New Roman" w:hAnsi="Times New Roman" w:cs="Times New Roman"/>
                <w:b/>
                <w:bCs/>
              </w:rPr>
            </w:pPr>
            <w:r w:rsidRPr="006822FD">
              <w:rPr>
                <w:rFonts w:ascii="Times New Roman" w:hAnsi="Times New Roman" w:cs="Times New Roman"/>
                <w:b/>
                <w:bCs/>
              </w:rPr>
              <w:t>Donacije Udrugama</w:t>
            </w:r>
          </w:p>
        </w:tc>
        <w:tc>
          <w:tcPr>
            <w:tcW w:w="1973" w:type="dxa"/>
          </w:tcPr>
          <w:p w14:paraId="1381CB0C" w14:textId="77777777" w:rsidR="000C2BB9" w:rsidRPr="006822FD" w:rsidRDefault="000C2BB9" w:rsidP="00436484">
            <w:pPr>
              <w:pStyle w:val="Sadrajitablice"/>
              <w:ind w:left="-17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44.550</w:t>
            </w:r>
            <w:r w:rsidRPr="006822FD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</w:tcPr>
          <w:p w14:paraId="755741E7" w14:textId="77777777" w:rsidR="000C2BB9" w:rsidRPr="00E9605D" w:rsidRDefault="000C2BB9" w:rsidP="00436484">
            <w:pPr>
              <w:pStyle w:val="Sadrajitablice"/>
              <w:ind w:left="-17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12.124,98</w:t>
            </w:r>
          </w:p>
        </w:tc>
      </w:tr>
      <w:tr w:rsidR="000C2BB9" w:rsidRPr="006822FD" w14:paraId="656553B6" w14:textId="77777777" w:rsidTr="00436484">
        <w:trPr>
          <w:jc w:val="center"/>
        </w:trPr>
        <w:tc>
          <w:tcPr>
            <w:tcW w:w="1024" w:type="dxa"/>
          </w:tcPr>
          <w:p w14:paraId="19A9D67E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R132</w:t>
            </w:r>
          </w:p>
        </w:tc>
        <w:tc>
          <w:tcPr>
            <w:tcW w:w="671" w:type="dxa"/>
          </w:tcPr>
          <w:p w14:paraId="23965DF7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5A9F9D6D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Ostale udruge građana civilnog društva </w:t>
            </w:r>
          </w:p>
        </w:tc>
        <w:tc>
          <w:tcPr>
            <w:tcW w:w="1973" w:type="dxa"/>
          </w:tcPr>
          <w:p w14:paraId="3867507D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6E87A8D8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51650E42" w14:textId="77777777" w:rsidTr="00436484">
        <w:trPr>
          <w:jc w:val="center"/>
        </w:trPr>
        <w:tc>
          <w:tcPr>
            <w:tcW w:w="1024" w:type="dxa"/>
          </w:tcPr>
          <w:p w14:paraId="7B496706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R133</w:t>
            </w:r>
          </w:p>
        </w:tc>
        <w:tc>
          <w:tcPr>
            <w:tcW w:w="671" w:type="dxa"/>
          </w:tcPr>
          <w:p w14:paraId="4A023F53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53442D97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HGSS </w:t>
            </w:r>
          </w:p>
        </w:tc>
        <w:tc>
          <w:tcPr>
            <w:tcW w:w="1973" w:type="dxa"/>
          </w:tcPr>
          <w:p w14:paraId="7995DCE8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2282" w:type="dxa"/>
          </w:tcPr>
          <w:p w14:paraId="0548B56F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267C40A9" w14:textId="77777777" w:rsidTr="00436484">
        <w:trPr>
          <w:jc w:val="center"/>
        </w:trPr>
        <w:tc>
          <w:tcPr>
            <w:tcW w:w="1024" w:type="dxa"/>
          </w:tcPr>
          <w:p w14:paraId="2CE0D6E4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R134</w:t>
            </w:r>
          </w:p>
        </w:tc>
        <w:tc>
          <w:tcPr>
            <w:tcW w:w="671" w:type="dxa"/>
          </w:tcPr>
          <w:p w14:paraId="48A0A54C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55F21E7D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Udruge građana proizašle iz Domovinskog rata i NOB-a </w:t>
            </w:r>
          </w:p>
        </w:tc>
        <w:tc>
          <w:tcPr>
            <w:tcW w:w="1973" w:type="dxa"/>
          </w:tcPr>
          <w:p w14:paraId="44887EFF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282" w:type="dxa"/>
          </w:tcPr>
          <w:p w14:paraId="437CD175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:rsidRPr="006822FD" w14:paraId="0B432992" w14:textId="77777777" w:rsidTr="00436484">
        <w:trPr>
          <w:jc w:val="center"/>
        </w:trPr>
        <w:tc>
          <w:tcPr>
            <w:tcW w:w="1024" w:type="dxa"/>
          </w:tcPr>
          <w:p w14:paraId="07C94DFE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R135</w:t>
            </w:r>
          </w:p>
        </w:tc>
        <w:tc>
          <w:tcPr>
            <w:tcW w:w="671" w:type="dxa"/>
          </w:tcPr>
          <w:p w14:paraId="50C1BE66" w14:textId="77777777" w:rsidR="000C2BB9" w:rsidRPr="006822FD" w:rsidRDefault="000C2BB9" w:rsidP="0043648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33B22094" w14:textId="77777777" w:rsidR="000C2BB9" w:rsidRPr="006822FD" w:rsidRDefault="000C2BB9" w:rsidP="0043648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Donacije Crvenom križu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53989938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24.250,00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3ACFD0" w14:textId="77777777" w:rsidR="000C2BB9" w:rsidRPr="006822FD" w:rsidRDefault="000C2BB9" w:rsidP="0043648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12.124,98</w:t>
            </w:r>
          </w:p>
        </w:tc>
      </w:tr>
      <w:tr w:rsidR="000C2BB9" w:rsidRPr="006822FD" w14:paraId="12AD9BBA" w14:textId="77777777" w:rsidTr="00436484">
        <w:trPr>
          <w:jc w:val="center"/>
        </w:trPr>
        <w:tc>
          <w:tcPr>
            <w:tcW w:w="1024" w:type="dxa"/>
          </w:tcPr>
          <w:p w14:paraId="2A9E72B3" w14:textId="77777777" w:rsidR="000C2BB9" w:rsidRPr="006822FD" w:rsidRDefault="000C2BB9" w:rsidP="0043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BA2FA65" w14:textId="77777777" w:rsidR="000C2BB9" w:rsidRPr="006822FD" w:rsidRDefault="000C2BB9" w:rsidP="0043648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right w:val="single" w:sz="4" w:space="0" w:color="auto"/>
            </w:tcBorders>
          </w:tcPr>
          <w:p w14:paraId="566CC577" w14:textId="77777777" w:rsidR="000C2BB9" w:rsidRPr="006822FD" w:rsidRDefault="000C2BB9" w:rsidP="0043648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  <w:bCs/>
              </w:rPr>
              <w:t>UKUPNO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(I.+II.+III.+IV.)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38BA" w14:textId="77777777" w:rsidR="000C2BB9" w:rsidRPr="00647787" w:rsidRDefault="000C2BB9" w:rsidP="0043648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419.100,00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10E3" w14:textId="77777777" w:rsidR="000C2BB9" w:rsidRPr="00647787" w:rsidRDefault="000C2BB9" w:rsidP="0043648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</w:pPr>
            <w:r w:rsidRPr="005238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140.684,9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0</w:t>
            </w:r>
          </w:p>
        </w:tc>
      </w:tr>
    </w:tbl>
    <w:p w14:paraId="471409A8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61FD1950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1A45939F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0E922B94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125D2B33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41FBD54A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2813E542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526F3927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15D1BC36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603B8D0D" w14:textId="2366F1F8" w:rsidR="000C2BB9" w:rsidRDefault="000C2BB9" w:rsidP="00C01A66">
      <w:pPr>
        <w:tabs>
          <w:tab w:val="left" w:pos="5520"/>
        </w:tabs>
        <w:rPr>
          <w:b/>
          <w:bCs/>
        </w:rPr>
      </w:pPr>
      <w:r>
        <w:rPr>
          <w:b/>
          <w:bCs/>
        </w:rPr>
        <w:lastRenderedPageBreak/>
        <w:t xml:space="preserve">V.III. Program javnih potreba u športu </w:t>
      </w:r>
    </w:p>
    <w:p w14:paraId="00C7F272" w14:textId="06330A46" w:rsidR="000C2BB9" w:rsidRDefault="000C2BB9" w:rsidP="00C01A66">
      <w:pPr>
        <w:tabs>
          <w:tab w:val="left" w:pos="5520"/>
        </w:tabs>
        <w:rPr>
          <w:b/>
          <w:bCs/>
        </w:rPr>
      </w:pPr>
      <w:r>
        <w:rPr>
          <w:b/>
          <w:bCs/>
        </w:rPr>
        <w:t>Tablica 5.</w:t>
      </w:r>
    </w:p>
    <w:p w14:paraId="3CC2ADD9" w14:textId="77777777" w:rsidR="000C2BB9" w:rsidRDefault="000C2BB9" w:rsidP="000C2BB9"/>
    <w:tbl>
      <w:tblPr>
        <w:tblW w:w="10350" w:type="dxa"/>
        <w:tblInd w:w="-3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708"/>
        <w:gridCol w:w="4697"/>
        <w:gridCol w:w="2092"/>
        <w:gridCol w:w="2000"/>
      </w:tblGrid>
      <w:tr w:rsidR="000C2BB9" w14:paraId="0D592B47" w14:textId="7777777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94319B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3FBDA2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5ABDC7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2F5188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Planirano u 2025. godini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7D13C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Realizirano</w:t>
            </w:r>
          </w:p>
          <w:p w14:paraId="7102A3F7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01.01.- 30.06.2025.</w:t>
            </w:r>
          </w:p>
        </w:tc>
      </w:tr>
      <w:tr w:rsidR="000C2BB9" w14:paraId="20729F1E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DEFAD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0921E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3273AC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8C611B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76178E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C2BB9" w14:paraId="080ECC38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F178A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46FA93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07B364" w14:textId="77777777" w:rsidR="000C2BB9" w:rsidRDefault="000C2BB9">
            <w:pPr>
              <w:rPr>
                <w:rFonts w:ascii="Liberation Serif" w:hAnsi="Liberation Serif" w:cs="Mang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Financiranje klubova-članova Zajednice športskih udruga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9E2F0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940.000,00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03E256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463.500,00</w:t>
            </w:r>
          </w:p>
        </w:tc>
      </w:tr>
      <w:tr w:rsidR="000C2BB9" w14:paraId="473502A4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BD450E" w14:textId="77777777" w:rsidR="000C2BB9" w:rsidRDefault="000C2BB9">
            <w:pPr>
              <w:jc w:val="center"/>
              <w:rPr>
                <w:rFonts w:ascii="Liberation Serif" w:hAnsi="Liberation Serif" w:cs="Mangal"/>
              </w:rPr>
            </w:pPr>
            <w:r>
              <w:rPr>
                <w:rFonts w:ascii="Times New Roman" w:hAnsi="Times New Roman" w:cs="Times New Roman"/>
              </w:rPr>
              <w:t>R077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0EF338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95699B" w14:textId="77777777" w:rsidR="000C2BB9" w:rsidRDefault="000C2BB9">
            <w:r>
              <w:rPr>
                <w:rFonts w:ascii="Times New Roman" w:hAnsi="Times New Roman" w:cs="Times New Roman"/>
              </w:rPr>
              <w:t xml:space="preserve">ZŠU – klubovi od posebnog interesa 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015D56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780.000,00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69A2A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371.000,00</w:t>
            </w:r>
          </w:p>
        </w:tc>
      </w:tr>
      <w:tr w:rsidR="000C2BB9" w14:paraId="6DA2AF85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B32F0F" w14:textId="77777777" w:rsidR="000C2BB9" w:rsidRDefault="000C2BB9">
            <w:pPr>
              <w:jc w:val="center"/>
              <w:rPr>
                <w:rFonts w:ascii="Liberation Serif" w:hAnsi="Liberation Serif" w:cs="Mangal"/>
              </w:rPr>
            </w:pPr>
            <w:r>
              <w:rPr>
                <w:rFonts w:ascii="Times New Roman" w:hAnsi="Times New Roman" w:cs="Times New Roman"/>
              </w:rPr>
              <w:t>R078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21385B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7BAFBB" w14:textId="77777777" w:rsidR="000C2BB9" w:rsidRDefault="000C2BB9">
            <w:r>
              <w:rPr>
                <w:rFonts w:ascii="Times New Roman" w:hAnsi="Times New Roman" w:cs="Times New Roman"/>
              </w:rPr>
              <w:t>Financiranje članica Zajednice športskih udruga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118D5F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6959B1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92.500,00</w:t>
            </w:r>
          </w:p>
        </w:tc>
      </w:tr>
      <w:tr w:rsidR="000C2BB9" w14:paraId="5724848B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46174" w14:textId="77777777" w:rsidR="000C2BB9" w:rsidRDefault="000C2B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8B546B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3245F8" w14:textId="77777777" w:rsidR="000C2BB9" w:rsidRDefault="000C2BB9">
            <w:pPr>
              <w:rPr>
                <w:rFonts w:ascii="Liberation Serif" w:hAnsi="Liberation Serif" w:cs="Mang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Ostale športske aktivnosti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B2FE4E" w14:textId="77777777" w:rsidR="000C2BB9" w:rsidRDefault="000C2B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10.000,00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D2CD8D" w14:textId="77777777" w:rsidR="000C2BB9" w:rsidRDefault="000C2B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0,00</w:t>
            </w:r>
          </w:p>
        </w:tc>
      </w:tr>
      <w:tr w:rsidR="000C2BB9" w14:paraId="1ED47FCA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FDBF09" w14:textId="77777777" w:rsidR="000C2BB9" w:rsidRDefault="000C2BB9">
            <w:pPr>
              <w:jc w:val="center"/>
              <w:rPr>
                <w:rFonts w:ascii="Liberation Serif" w:eastAsia="SimSun" w:hAnsi="Liberation Serif" w:cs="Mangal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R082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67D62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54EC85" w14:textId="77777777" w:rsidR="000C2BB9" w:rsidRDefault="000C2BB9">
            <w:r>
              <w:rPr>
                <w:rFonts w:ascii="Times New Roman" w:hAnsi="Times New Roman" w:cs="Times New Roman"/>
              </w:rPr>
              <w:t>Javni natječaj za financiranje projekata i manifestacija u sportu i rekreaciji na području Grada Ploča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0294F1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18A73B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C2BB9" w14:paraId="1EB8F734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73DE0" w14:textId="77777777" w:rsidR="000C2BB9" w:rsidRDefault="000C2BB9">
            <w:pPr>
              <w:jc w:val="center"/>
              <w:rPr>
                <w:rFonts w:ascii="Liberation Serif" w:hAnsi="Liberation Serif" w:cs="Mangal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4D9DE1" w14:textId="77777777" w:rsidR="000C2BB9" w:rsidRDefault="000C2BB9">
            <w:pPr>
              <w:pStyle w:val="Sadrajitabli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AEA2F8" w14:textId="77777777" w:rsidR="000C2BB9" w:rsidRDefault="000C2BB9">
            <w:r>
              <w:rPr>
                <w:rFonts w:ascii="Times New Roman" w:hAnsi="Times New Roman" w:cs="Times New Roman"/>
                <w:b/>
                <w:bCs/>
              </w:rPr>
              <w:t>Održavanje športskih objekata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AEE2F4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30.500,00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4582D4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16.000,00</w:t>
            </w:r>
          </w:p>
        </w:tc>
      </w:tr>
      <w:tr w:rsidR="000C2BB9" w14:paraId="2FF38E14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046DB" w14:textId="77777777" w:rsidR="000C2BB9" w:rsidRDefault="000C2BB9">
            <w:pPr>
              <w:jc w:val="center"/>
              <w:rPr>
                <w:rFonts w:ascii="Liberation Serif" w:hAnsi="Liberation Serif" w:cs="Mangal"/>
              </w:rPr>
            </w:pPr>
            <w:r>
              <w:rPr>
                <w:rFonts w:ascii="Times New Roman" w:hAnsi="Times New Roman" w:cs="Times New Roman"/>
              </w:rPr>
              <w:t>R083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DB058A" w14:textId="77777777" w:rsidR="000C2BB9" w:rsidRDefault="000C2BB9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707200" w14:textId="77777777" w:rsidR="000C2BB9" w:rsidRDefault="000C2BB9">
            <w:r>
              <w:rPr>
                <w:rFonts w:ascii="Times New Roman" w:eastAsia="Calibri" w:hAnsi="Times New Roman" w:cs="Times New Roman"/>
              </w:rPr>
              <w:t xml:space="preserve">NK "Gusar"- tekući i materijalni troškovi 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D22F03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244BC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12.500,00</w:t>
            </w:r>
          </w:p>
        </w:tc>
      </w:tr>
      <w:tr w:rsidR="000C2BB9" w14:paraId="46624AD8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9E6E6F" w14:textId="77777777" w:rsidR="000C2BB9" w:rsidRDefault="000C2B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R084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FF51A5" w14:textId="77777777" w:rsidR="000C2BB9" w:rsidRDefault="000C2BB9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EBFF0F" w14:textId="77777777" w:rsidR="000C2BB9" w:rsidRDefault="000C2BB9">
            <w:pPr>
              <w:rPr>
                <w:rFonts w:ascii="Liberation Serif" w:hAnsi="Liberation Serif" w:cs="Mangal"/>
              </w:rPr>
            </w:pPr>
            <w:r>
              <w:rPr>
                <w:rFonts w:ascii="Times New Roman" w:eastAsia="Calibri" w:hAnsi="Times New Roman" w:cs="Times New Roman"/>
              </w:rPr>
              <w:t>VK "</w:t>
            </w:r>
            <w:proofErr w:type="spellStart"/>
            <w:r>
              <w:rPr>
                <w:rFonts w:ascii="Times New Roman" w:eastAsia="Calibri" w:hAnsi="Times New Roman" w:cs="Times New Roman"/>
              </w:rPr>
              <w:t>Rogotin</w:t>
            </w:r>
            <w:proofErr w:type="spellEnd"/>
            <w:r>
              <w:rPr>
                <w:rFonts w:ascii="Times New Roman" w:eastAsia="Calibri" w:hAnsi="Times New Roman" w:cs="Times New Roman"/>
              </w:rPr>
              <w:t>" – za održavanje igrališta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A4AD4E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94E6B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</w:tr>
      <w:tr w:rsidR="000C2BB9" w14:paraId="31AA1766" w14:textId="7777777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E107E" w14:textId="77777777" w:rsidR="000C2BB9" w:rsidRDefault="000C2BB9">
            <w:pPr>
              <w:jc w:val="center"/>
              <w:rPr>
                <w:rFonts w:ascii="Liberation Serif" w:hAnsi="Liberation Serif" w:cs="Mangal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2B8B50" w14:textId="77777777" w:rsidR="000C2BB9" w:rsidRDefault="000C2BB9">
            <w:pPr>
              <w:pStyle w:val="Sadrajitablice"/>
              <w:jc w:val="center"/>
            </w:pPr>
          </w:p>
        </w:tc>
        <w:tc>
          <w:tcPr>
            <w:tcW w:w="4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8C5839" w14:textId="77777777" w:rsidR="000C2BB9" w:rsidRDefault="000C2BB9">
            <w:pPr>
              <w:jc w:val="right"/>
            </w:pPr>
            <w:r>
              <w:rPr>
                <w:b/>
                <w:bCs/>
              </w:rPr>
              <w:t xml:space="preserve">UKUPNO(I.+II.+III.) </w:t>
            </w:r>
          </w:p>
        </w:tc>
        <w:tc>
          <w:tcPr>
            <w:tcW w:w="2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216C94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980.500,00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4F5CDB" w14:textId="77777777" w:rsidR="000C2BB9" w:rsidRDefault="000C2BB9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479.500,00</w:t>
            </w:r>
          </w:p>
        </w:tc>
      </w:tr>
    </w:tbl>
    <w:p w14:paraId="655075B9" w14:textId="77777777" w:rsidR="000C2BB9" w:rsidRDefault="000C2BB9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5BCBF3F9" w14:textId="77777777" w:rsidR="00766058" w:rsidRDefault="00766058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61893D1B" w14:textId="77777777" w:rsidR="00766058" w:rsidRDefault="00766058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600A5A32" w14:textId="77777777" w:rsidR="00766058" w:rsidRDefault="00766058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28DA1CA0" w14:textId="77777777" w:rsidR="00766058" w:rsidRDefault="00766058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67D9F190" w14:textId="77777777" w:rsidR="00766058" w:rsidRDefault="00766058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55A5B9CD" w14:textId="77777777" w:rsidR="00766058" w:rsidRDefault="00766058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127CCC07" w14:textId="77777777" w:rsidR="00766058" w:rsidRDefault="00766058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5799D5A8" w14:textId="77777777" w:rsidR="00766058" w:rsidRDefault="00766058" w:rsidP="000C2BB9">
      <w:pPr>
        <w:rPr>
          <w:rFonts w:ascii="Liberation Serif" w:eastAsia="SimSun" w:hAnsi="Liberation Serif" w:cs="Mangal"/>
          <w:lang w:eastAsia="zh-CN" w:bidi="hi-IN"/>
        </w:rPr>
      </w:pPr>
    </w:p>
    <w:p w14:paraId="67F9EB63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28748A83" w14:textId="7840EC24" w:rsidR="000C2BB9" w:rsidRDefault="000C2BB9" w:rsidP="00C01A66">
      <w:pPr>
        <w:tabs>
          <w:tab w:val="left" w:pos="5520"/>
        </w:tabs>
        <w:rPr>
          <w:b/>
          <w:bCs/>
        </w:rPr>
      </w:pPr>
      <w:r>
        <w:rPr>
          <w:b/>
          <w:bCs/>
        </w:rPr>
        <w:lastRenderedPageBreak/>
        <w:t>V.IV. Program održavanja komunalne infrastrukture</w:t>
      </w:r>
    </w:p>
    <w:p w14:paraId="03C5D8FB" w14:textId="4C3B6A78" w:rsidR="0078597E" w:rsidRDefault="0078597E" w:rsidP="00C01A66">
      <w:pPr>
        <w:tabs>
          <w:tab w:val="left" w:pos="5520"/>
        </w:tabs>
        <w:rPr>
          <w:b/>
          <w:bCs/>
        </w:rPr>
      </w:pPr>
      <w:r>
        <w:rPr>
          <w:b/>
          <w:bCs/>
        </w:rPr>
        <w:t xml:space="preserve">Tablica 6. </w:t>
      </w:r>
    </w:p>
    <w:tbl>
      <w:tblPr>
        <w:tblStyle w:val="Reetkatablice"/>
        <w:tblW w:w="9931" w:type="dxa"/>
        <w:tblLook w:val="04A0" w:firstRow="1" w:lastRow="0" w:firstColumn="1" w:lastColumn="0" w:noHBand="0" w:noVBand="1"/>
      </w:tblPr>
      <w:tblGrid>
        <w:gridCol w:w="1417"/>
        <w:gridCol w:w="4015"/>
        <w:gridCol w:w="1541"/>
        <w:gridCol w:w="1541"/>
        <w:gridCol w:w="1417"/>
      </w:tblGrid>
      <w:tr w:rsidR="0078597E" w:rsidRPr="00766058" w14:paraId="5D741018" w14:textId="77777777" w:rsidTr="00E718A7">
        <w:trPr>
          <w:trHeight w:val="270"/>
        </w:trPr>
        <w:tc>
          <w:tcPr>
            <w:tcW w:w="1417" w:type="dxa"/>
            <w:noWrap/>
            <w:hideMark/>
          </w:tcPr>
          <w:p w14:paraId="7CA75488" w14:textId="77777777" w:rsidR="0078597E" w:rsidRPr="00766058" w:rsidRDefault="0078597E" w:rsidP="0078597E">
            <w:pPr>
              <w:tabs>
                <w:tab w:val="left" w:pos="5520"/>
              </w:tabs>
              <w:rPr>
                <w:b/>
                <w:bCs/>
              </w:rPr>
            </w:pPr>
            <w:r w:rsidRPr="00766058">
              <w:rPr>
                <w:b/>
                <w:bCs/>
              </w:rPr>
              <w:t>1101</w:t>
            </w:r>
          </w:p>
        </w:tc>
        <w:tc>
          <w:tcPr>
            <w:tcW w:w="4015" w:type="dxa"/>
            <w:noWrap/>
            <w:hideMark/>
          </w:tcPr>
          <w:p w14:paraId="3A62E48F" w14:textId="77777777" w:rsidR="0078597E" w:rsidRPr="00766058" w:rsidRDefault="0078597E" w:rsidP="0078597E">
            <w:pPr>
              <w:tabs>
                <w:tab w:val="left" w:pos="5520"/>
              </w:tabs>
              <w:rPr>
                <w:b/>
                <w:bCs/>
              </w:rPr>
            </w:pPr>
            <w:r w:rsidRPr="00766058">
              <w:rPr>
                <w:b/>
                <w:bCs/>
              </w:rPr>
              <w:t>Program: JAVNA RASVJETA</w:t>
            </w:r>
          </w:p>
        </w:tc>
        <w:tc>
          <w:tcPr>
            <w:tcW w:w="1541" w:type="dxa"/>
            <w:noWrap/>
            <w:hideMark/>
          </w:tcPr>
          <w:p w14:paraId="7EE7253A" w14:textId="77777777" w:rsidR="0078597E" w:rsidRPr="00766058" w:rsidRDefault="0078597E" w:rsidP="0078597E">
            <w:pPr>
              <w:tabs>
                <w:tab w:val="left" w:pos="5520"/>
              </w:tabs>
              <w:rPr>
                <w:b/>
                <w:bCs/>
              </w:rPr>
            </w:pPr>
            <w:r w:rsidRPr="00766058">
              <w:rPr>
                <w:b/>
                <w:bCs/>
              </w:rPr>
              <w:t>90.625,00</w:t>
            </w:r>
          </w:p>
        </w:tc>
        <w:tc>
          <w:tcPr>
            <w:tcW w:w="1541" w:type="dxa"/>
            <w:noWrap/>
            <w:hideMark/>
          </w:tcPr>
          <w:p w14:paraId="048C15C3" w14:textId="77777777" w:rsidR="0078597E" w:rsidRPr="00766058" w:rsidRDefault="0078597E" w:rsidP="0078597E">
            <w:pPr>
              <w:tabs>
                <w:tab w:val="left" w:pos="5520"/>
              </w:tabs>
              <w:rPr>
                <w:b/>
                <w:bCs/>
              </w:rPr>
            </w:pPr>
            <w:r w:rsidRPr="00766058">
              <w:rPr>
                <w:b/>
                <w:bCs/>
              </w:rPr>
              <w:t>35.910,61</w:t>
            </w:r>
          </w:p>
        </w:tc>
        <w:tc>
          <w:tcPr>
            <w:tcW w:w="1417" w:type="dxa"/>
            <w:noWrap/>
            <w:hideMark/>
          </w:tcPr>
          <w:p w14:paraId="0D2B9EB4" w14:textId="77777777" w:rsidR="0078597E" w:rsidRPr="00766058" w:rsidRDefault="0078597E" w:rsidP="0078597E">
            <w:pPr>
              <w:tabs>
                <w:tab w:val="left" w:pos="5520"/>
              </w:tabs>
              <w:rPr>
                <w:b/>
                <w:bCs/>
              </w:rPr>
            </w:pPr>
            <w:r w:rsidRPr="00766058">
              <w:rPr>
                <w:b/>
                <w:bCs/>
              </w:rPr>
              <w:t>39,63%</w:t>
            </w:r>
          </w:p>
        </w:tc>
      </w:tr>
      <w:tr w:rsidR="0078597E" w:rsidRPr="00766058" w14:paraId="7A043D75" w14:textId="77777777" w:rsidTr="00E718A7">
        <w:trPr>
          <w:trHeight w:val="270"/>
        </w:trPr>
        <w:tc>
          <w:tcPr>
            <w:tcW w:w="1417" w:type="dxa"/>
            <w:noWrap/>
            <w:hideMark/>
          </w:tcPr>
          <w:p w14:paraId="6159F539" w14:textId="77777777" w:rsidR="0078597E" w:rsidRPr="00766058" w:rsidRDefault="0078597E" w:rsidP="0078597E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A110001</w:t>
            </w:r>
          </w:p>
        </w:tc>
        <w:tc>
          <w:tcPr>
            <w:tcW w:w="4015" w:type="dxa"/>
            <w:noWrap/>
            <w:hideMark/>
          </w:tcPr>
          <w:p w14:paraId="5321726F" w14:textId="77777777" w:rsidR="0078597E" w:rsidRPr="00766058" w:rsidRDefault="0078597E" w:rsidP="0078597E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Aktivnost: Utrošak električne energije</w:t>
            </w:r>
          </w:p>
        </w:tc>
        <w:tc>
          <w:tcPr>
            <w:tcW w:w="1541" w:type="dxa"/>
            <w:noWrap/>
            <w:hideMark/>
          </w:tcPr>
          <w:p w14:paraId="452FE74A" w14:textId="77777777" w:rsidR="0078597E" w:rsidRPr="00766058" w:rsidRDefault="0078597E" w:rsidP="0078597E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67.000,00</w:t>
            </w:r>
          </w:p>
        </w:tc>
        <w:tc>
          <w:tcPr>
            <w:tcW w:w="1541" w:type="dxa"/>
            <w:noWrap/>
            <w:hideMark/>
          </w:tcPr>
          <w:p w14:paraId="59C8C8FD" w14:textId="77777777" w:rsidR="0078597E" w:rsidRPr="00766058" w:rsidRDefault="0078597E" w:rsidP="0078597E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15.909,51</w:t>
            </w:r>
          </w:p>
        </w:tc>
        <w:tc>
          <w:tcPr>
            <w:tcW w:w="1417" w:type="dxa"/>
            <w:noWrap/>
            <w:hideMark/>
          </w:tcPr>
          <w:p w14:paraId="06D37A37" w14:textId="77777777" w:rsidR="0078597E" w:rsidRPr="00766058" w:rsidRDefault="0078597E" w:rsidP="0078597E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23,75%</w:t>
            </w:r>
          </w:p>
        </w:tc>
      </w:tr>
      <w:tr w:rsidR="0078597E" w:rsidRPr="0078597E" w14:paraId="4F60F56B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46102B35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A110002</w:t>
            </w:r>
          </w:p>
        </w:tc>
        <w:tc>
          <w:tcPr>
            <w:tcW w:w="4015" w:type="dxa"/>
            <w:noWrap/>
            <w:hideMark/>
          </w:tcPr>
          <w:p w14:paraId="7556594E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Nabavka materijala za održavanje</w:t>
            </w:r>
          </w:p>
        </w:tc>
        <w:tc>
          <w:tcPr>
            <w:tcW w:w="1541" w:type="dxa"/>
            <w:noWrap/>
            <w:hideMark/>
          </w:tcPr>
          <w:p w14:paraId="0CAD095D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7.500,00</w:t>
            </w:r>
          </w:p>
        </w:tc>
        <w:tc>
          <w:tcPr>
            <w:tcW w:w="1541" w:type="dxa"/>
            <w:noWrap/>
            <w:hideMark/>
          </w:tcPr>
          <w:p w14:paraId="654CEA5B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11,50</w:t>
            </w:r>
          </w:p>
        </w:tc>
        <w:tc>
          <w:tcPr>
            <w:tcW w:w="1417" w:type="dxa"/>
            <w:noWrap/>
            <w:hideMark/>
          </w:tcPr>
          <w:p w14:paraId="52C7A064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0,15%</w:t>
            </w:r>
          </w:p>
        </w:tc>
      </w:tr>
      <w:tr w:rsidR="0078597E" w:rsidRPr="0078597E" w14:paraId="28DDD450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3AF12EF3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A110003</w:t>
            </w:r>
          </w:p>
        </w:tc>
        <w:tc>
          <w:tcPr>
            <w:tcW w:w="4015" w:type="dxa"/>
            <w:noWrap/>
            <w:hideMark/>
          </w:tcPr>
          <w:p w14:paraId="51A2ED9A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Usluge održavanja javne rasvjete</w:t>
            </w:r>
          </w:p>
        </w:tc>
        <w:tc>
          <w:tcPr>
            <w:tcW w:w="1541" w:type="dxa"/>
            <w:noWrap/>
            <w:hideMark/>
          </w:tcPr>
          <w:p w14:paraId="7282182A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16.125,00</w:t>
            </w:r>
          </w:p>
        </w:tc>
        <w:tc>
          <w:tcPr>
            <w:tcW w:w="1541" w:type="dxa"/>
            <w:noWrap/>
            <w:hideMark/>
          </w:tcPr>
          <w:p w14:paraId="03E600B1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19.989,60</w:t>
            </w:r>
          </w:p>
        </w:tc>
        <w:tc>
          <w:tcPr>
            <w:tcW w:w="1417" w:type="dxa"/>
            <w:noWrap/>
            <w:hideMark/>
          </w:tcPr>
          <w:p w14:paraId="29B53C7A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123,97%</w:t>
            </w:r>
          </w:p>
        </w:tc>
      </w:tr>
      <w:tr w:rsidR="0078597E" w:rsidRPr="0078597E" w14:paraId="618FE52D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50278429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A110001</w:t>
            </w:r>
          </w:p>
        </w:tc>
        <w:tc>
          <w:tcPr>
            <w:tcW w:w="4015" w:type="dxa"/>
            <w:noWrap/>
            <w:hideMark/>
          </w:tcPr>
          <w:p w14:paraId="1705EF11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slivnika</w:t>
            </w:r>
          </w:p>
        </w:tc>
        <w:tc>
          <w:tcPr>
            <w:tcW w:w="1541" w:type="dxa"/>
            <w:noWrap/>
            <w:hideMark/>
          </w:tcPr>
          <w:p w14:paraId="59B10E4E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noWrap/>
            <w:hideMark/>
          </w:tcPr>
          <w:p w14:paraId="787EA9D6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13.216,19</w:t>
            </w:r>
          </w:p>
        </w:tc>
        <w:tc>
          <w:tcPr>
            <w:tcW w:w="1417" w:type="dxa"/>
            <w:noWrap/>
            <w:hideMark/>
          </w:tcPr>
          <w:p w14:paraId="2E467F56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33,04%</w:t>
            </w:r>
          </w:p>
        </w:tc>
      </w:tr>
      <w:tr w:rsidR="0078597E" w:rsidRPr="0078597E" w14:paraId="10D88B38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4D45345D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A110002</w:t>
            </w:r>
          </w:p>
        </w:tc>
        <w:tc>
          <w:tcPr>
            <w:tcW w:w="4015" w:type="dxa"/>
            <w:noWrap/>
            <w:hideMark/>
          </w:tcPr>
          <w:p w14:paraId="72F6AA66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Tekuće održavanje ulica</w:t>
            </w:r>
          </w:p>
        </w:tc>
        <w:tc>
          <w:tcPr>
            <w:tcW w:w="1541" w:type="dxa"/>
            <w:noWrap/>
            <w:hideMark/>
          </w:tcPr>
          <w:p w14:paraId="7BF40A5B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541" w:type="dxa"/>
            <w:noWrap/>
            <w:hideMark/>
          </w:tcPr>
          <w:p w14:paraId="5C3E3646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55.474,97</w:t>
            </w:r>
          </w:p>
        </w:tc>
        <w:tc>
          <w:tcPr>
            <w:tcW w:w="1417" w:type="dxa"/>
            <w:noWrap/>
            <w:hideMark/>
          </w:tcPr>
          <w:p w14:paraId="59B506F3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184,92%</w:t>
            </w:r>
          </w:p>
        </w:tc>
      </w:tr>
      <w:tr w:rsidR="0078597E" w:rsidRPr="0078597E" w14:paraId="4E4BC0FC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3C45865F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A110003</w:t>
            </w:r>
          </w:p>
        </w:tc>
        <w:tc>
          <w:tcPr>
            <w:tcW w:w="4015" w:type="dxa"/>
            <w:noWrap/>
            <w:hideMark/>
          </w:tcPr>
          <w:p w14:paraId="5240B271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Aktivnost: Sanacija </w:t>
            </w:r>
            <w:proofErr w:type="spellStart"/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pokosa</w:t>
            </w:r>
            <w:proofErr w:type="spellEnd"/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na nerazvrstanim prometnicama</w:t>
            </w:r>
          </w:p>
        </w:tc>
        <w:tc>
          <w:tcPr>
            <w:tcW w:w="1541" w:type="dxa"/>
            <w:noWrap/>
            <w:hideMark/>
          </w:tcPr>
          <w:p w14:paraId="170A8147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noWrap/>
            <w:hideMark/>
          </w:tcPr>
          <w:p w14:paraId="090E4DAC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04C680E7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78597E" w:rsidRPr="0078597E" w14:paraId="60BEAF69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7BEBCD1B" w14:textId="77777777" w:rsidR="0078597E" w:rsidRPr="0078597E" w:rsidRDefault="0078597E" w:rsidP="0078597E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1103</w:t>
            </w:r>
          </w:p>
        </w:tc>
        <w:tc>
          <w:tcPr>
            <w:tcW w:w="4015" w:type="dxa"/>
            <w:noWrap/>
            <w:hideMark/>
          </w:tcPr>
          <w:p w14:paraId="20287188" w14:textId="77777777" w:rsidR="0078597E" w:rsidRPr="0078597E" w:rsidRDefault="0078597E" w:rsidP="0078597E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JAVNE POVRŠINE</w:t>
            </w:r>
          </w:p>
        </w:tc>
        <w:tc>
          <w:tcPr>
            <w:tcW w:w="1541" w:type="dxa"/>
            <w:noWrap/>
            <w:hideMark/>
          </w:tcPr>
          <w:p w14:paraId="4A983776" w14:textId="77777777" w:rsidR="0078597E" w:rsidRPr="0078597E" w:rsidRDefault="0078597E" w:rsidP="0078597E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712.100,00</w:t>
            </w:r>
          </w:p>
        </w:tc>
        <w:tc>
          <w:tcPr>
            <w:tcW w:w="1541" w:type="dxa"/>
            <w:noWrap/>
            <w:hideMark/>
          </w:tcPr>
          <w:p w14:paraId="4C948787" w14:textId="77777777" w:rsidR="0078597E" w:rsidRPr="0078597E" w:rsidRDefault="0078597E" w:rsidP="0078597E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277.568,27</w:t>
            </w:r>
          </w:p>
        </w:tc>
        <w:tc>
          <w:tcPr>
            <w:tcW w:w="1417" w:type="dxa"/>
            <w:noWrap/>
            <w:hideMark/>
          </w:tcPr>
          <w:p w14:paraId="792021D4" w14:textId="77777777" w:rsidR="0078597E" w:rsidRPr="0078597E" w:rsidRDefault="0078597E" w:rsidP="0078597E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38,98%</w:t>
            </w:r>
          </w:p>
        </w:tc>
      </w:tr>
      <w:tr w:rsidR="0078597E" w:rsidRPr="0078597E" w14:paraId="79739164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0E5C307B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A110001</w:t>
            </w:r>
          </w:p>
        </w:tc>
        <w:tc>
          <w:tcPr>
            <w:tcW w:w="4015" w:type="dxa"/>
            <w:noWrap/>
            <w:hideMark/>
          </w:tcPr>
          <w:p w14:paraId="01BC904A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Aktivnost: Sanacija nogostupa, rive i </w:t>
            </w:r>
            <w:proofErr w:type="spellStart"/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dr.javnih</w:t>
            </w:r>
            <w:proofErr w:type="spellEnd"/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površina</w:t>
            </w:r>
          </w:p>
        </w:tc>
        <w:tc>
          <w:tcPr>
            <w:tcW w:w="1541" w:type="dxa"/>
            <w:noWrap/>
            <w:hideMark/>
          </w:tcPr>
          <w:p w14:paraId="39F823CD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541" w:type="dxa"/>
            <w:noWrap/>
            <w:hideMark/>
          </w:tcPr>
          <w:p w14:paraId="7F823CCC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2636056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78597E" w:rsidRPr="0078597E" w14:paraId="532CCB5C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0B03F7B6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A110002</w:t>
            </w:r>
          </w:p>
        </w:tc>
        <w:tc>
          <w:tcPr>
            <w:tcW w:w="4015" w:type="dxa"/>
            <w:noWrap/>
            <w:hideMark/>
          </w:tcPr>
          <w:p w14:paraId="3242C800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Čišćenje ulica i ostalih javnih površina</w:t>
            </w:r>
          </w:p>
        </w:tc>
        <w:tc>
          <w:tcPr>
            <w:tcW w:w="1541" w:type="dxa"/>
            <w:noWrap/>
            <w:hideMark/>
          </w:tcPr>
          <w:p w14:paraId="46FF7B65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200.000,00</w:t>
            </w:r>
          </w:p>
        </w:tc>
        <w:tc>
          <w:tcPr>
            <w:tcW w:w="1541" w:type="dxa"/>
            <w:noWrap/>
            <w:hideMark/>
          </w:tcPr>
          <w:p w14:paraId="522DB1E6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94.450,03</w:t>
            </w:r>
          </w:p>
        </w:tc>
        <w:tc>
          <w:tcPr>
            <w:tcW w:w="1417" w:type="dxa"/>
            <w:noWrap/>
            <w:hideMark/>
          </w:tcPr>
          <w:p w14:paraId="3E0EA716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47,23%</w:t>
            </w:r>
          </w:p>
        </w:tc>
      </w:tr>
      <w:tr w:rsidR="0078597E" w:rsidRPr="0078597E" w14:paraId="035DC68B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00C5A2AD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A110003</w:t>
            </w:r>
          </w:p>
        </w:tc>
        <w:tc>
          <w:tcPr>
            <w:tcW w:w="4015" w:type="dxa"/>
            <w:noWrap/>
            <w:hideMark/>
          </w:tcPr>
          <w:p w14:paraId="38FE7CB9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zelenih površina (parkovi)</w:t>
            </w:r>
          </w:p>
        </w:tc>
        <w:tc>
          <w:tcPr>
            <w:tcW w:w="1541" w:type="dxa"/>
            <w:noWrap/>
            <w:hideMark/>
          </w:tcPr>
          <w:p w14:paraId="16038FB1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400.000,00</w:t>
            </w:r>
          </w:p>
        </w:tc>
        <w:tc>
          <w:tcPr>
            <w:tcW w:w="1541" w:type="dxa"/>
            <w:noWrap/>
            <w:hideMark/>
          </w:tcPr>
          <w:p w14:paraId="21AC2702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153.585,72</w:t>
            </w:r>
          </w:p>
        </w:tc>
        <w:tc>
          <w:tcPr>
            <w:tcW w:w="1417" w:type="dxa"/>
            <w:noWrap/>
            <w:hideMark/>
          </w:tcPr>
          <w:p w14:paraId="646149EC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38,40%</w:t>
            </w:r>
          </w:p>
        </w:tc>
      </w:tr>
      <w:tr w:rsidR="0078597E" w:rsidRPr="0078597E" w14:paraId="38CE949F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34E2DD03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A110004</w:t>
            </w:r>
          </w:p>
        </w:tc>
        <w:tc>
          <w:tcPr>
            <w:tcW w:w="4015" w:type="dxa"/>
            <w:noWrap/>
            <w:hideMark/>
          </w:tcPr>
          <w:p w14:paraId="7E4594A7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spomenika i spomen obilježja</w:t>
            </w:r>
          </w:p>
        </w:tc>
        <w:tc>
          <w:tcPr>
            <w:tcW w:w="1541" w:type="dxa"/>
            <w:noWrap/>
            <w:hideMark/>
          </w:tcPr>
          <w:p w14:paraId="4E64BF55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2.700,00</w:t>
            </w:r>
          </w:p>
        </w:tc>
        <w:tc>
          <w:tcPr>
            <w:tcW w:w="1541" w:type="dxa"/>
            <w:noWrap/>
            <w:hideMark/>
          </w:tcPr>
          <w:p w14:paraId="0A0CF2AE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DC6A5AC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78597E" w:rsidRPr="0078597E" w14:paraId="7CC56855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43A1F5A6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A110005</w:t>
            </w:r>
          </w:p>
        </w:tc>
        <w:tc>
          <w:tcPr>
            <w:tcW w:w="4015" w:type="dxa"/>
            <w:noWrap/>
            <w:hideMark/>
          </w:tcPr>
          <w:p w14:paraId="3759B5C0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dječjih igrališta</w:t>
            </w:r>
          </w:p>
        </w:tc>
        <w:tc>
          <w:tcPr>
            <w:tcW w:w="1541" w:type="dxa"/>
            <w:noWrap/>
            <w:hideMark/>
          </w:tcPr>
          <w:p w14:paraId="079E556E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noWrap/>
            <w:hideMark/>
          </w:tcPr>
          <w:p w14:paraId="604005CC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1.661,03</w:t>
            </w:r>
          </w:p>
        </w:tc>
        <w:tc>
          <w:tcPr>
            <w:tcW w:w="1417" w:type="dxa"/>
            <w:noWrap/>
            <w:hideMark/>
          </w:tcPr>
          <w:p w14:paraId="132B3CBA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11,07%</w:t>
            </w:r>
          </w:p>
        </w:tc>
      </w:tr>
      <w:tr w:rsidR="0078597E" w:rsidRPr="0078597E" w14:paraId="37C01C23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51A90D1D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A110006</w:t>
            </w:r>
          </w:p>
        </w:tc>
        <w:tc>
          <w:tcPr>
            <w:tcW w:w="4015" w:type="dxa"/>
            <w:noWrap/>
            <w:hideMark/>
          </w:tcPr>
          <w:p w14:paraId="5D68E9F3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Sufinanciranje održavanja groblja na području Grada Ploča</w:t>
            </w:r>
          </w:p>
        </w:tc>
        <w:tc>
          <w:tcPr>
            <w:tcW w:w="1541" w:type="dxa"/>
            <w:noWrap/>
            <w:hideMark/>
          </w:tcPr>
          <w:p w14:paraId="1CE3F602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6.700,00</w:t>
            </w:r>
          </w:p>
        </w:tc>
        <w:tc>
          <w:tcPr>
            <w:tcW w:w="1541" w:type="dxa"/>
            <w:noWrap/>
            <w:hideMark/>
          </w:tcPr>
          <w:p w14:paraId="70615F53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95,55</w:t>
            </w:r>
          </w:p>
        </w:tc>
        <w:tc>
          <w:tcPr>
            <w:tcW w:w="1417" w:type="dxa"/>
            <w:noWrap/>
            <w:hideMark/>
          </w:tcPr>
          <w:p w14:paraId="6292E09F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1,43%</w:t>
            </w:r>
          </w:p>
        </w:tc>
      </w:tr>
      <w:tr w:rsidR="0078597E" w:rsidRPr="0078597E" w14:paraId="5DD8CEDE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724434F2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A110007</w:t>
            </w:r>
          </w:p>
        </w:tc>
        <w:tc>
          <w:tcPr>
            <w:tcW w:w="4015" w:type="dxa"/>
            <w:noWrap/>
            <w:hideMark/>
          </w:tcPr>
          <w:p w14:paraId="3DB0286B" w14:textId="77777777" w:rsidR="0078597E" w:rsidRPr="0078597E" w:rsidRDefault="0078597E" w:rsidP="0078597E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plaža na području Grada Ploča</w:t>
            </w:r>
          </w:p>
        </w:tc>
        <w:tc>
          <w:tcPr>
            <w:tcW w:w="1541" w:type="dxa"/>
            <w:noWrap/>
            <w:hideMark/>
          </w:tcPr>
          <w:p w14:paraId="2A0B5821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9.000,00</w:t>
            </w:r>
          </w:p>
        </w:tc>
        <w:tc>
          <w:tcPr>
            <w:tcW w:w="1541" w:type="dxa"/>
            <w:noWrap/>
            <w:hideMark/>
          </w:tcPr>
          <w:p w14:paraId="1040B9DD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7.625,00</w:t>
            </w:r>
          </w:p>
        </w:tc>
        <w:tc>
          <w:tcPr>
            <w:tcW w:w="1417" w:type="dxa"/>
            <w:noWrap/>
            <w:hideMark/>
          </w:tcPr>
          <w:p w14:paraId="1E271EE4" w14:textId="77777777" w:rsidR="0078597E" w:rsidRPr="0078597E" w:rsidRDefault="0078597E" w:rsidP="0078597E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8597E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84,72%</w:t>
            </w:r>
          </w:p>
        </w:tc>
      </w:tr>
      <w:tr w:rsidR="00E718A7" w:rsidRPr="00E718A7" w14:paraId="0C90B52E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789E06BD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A110008</w:t>
            </w:r>
          </w:p>
        </w:tc>
        <w:tc>
          <w:tcPr>
            <w:tcW w:w="4015" w:type="dxa"/>
            <w:noWrap/>
            <w:hideMark/>
          </w:tcPr>
          <w:p w14:paraId="617571CD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javnih parkirališta</w:t>
            </w:r>
          </w:p>
        </w:tc>
        <w:tc>
          <w:tcPr>
            <w:tcW w:w="1541" w:type="dxa"/>
            <w:noWrap/>
            <w:hideMark/>
          </w:tcPr>
          <w:p w14:paraId="719BAA19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noWrap/>
            <w:hideMark/>
          </w:tcPr>
          <w:p w14:paraId="7BD97F1C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20.150,94</w:t>
            </w:r>
          </w:p>
        </w:tc>
        <w:tc>
          <w:tcPr>
            <w:tcW w:w="1417" w:type="dxa"/>
            <w:noWrap/>
            <w:hideMark/>
          </w:tcPr>
          <w:p w14:paraId="61EE4317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134,34%</w:t>
            </w:r>
          </w:p>
        </w:tc>
      </w:tr>
      <w:tr w:rsidR="00E718A7" w:rsidRPr="00E718A7" w14:paraId="7A4D60A1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6F258C82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A110009</w:t>
            </w:r>
          </w:p>
        </w:tc>
        <w:tc>
          <w:tcPr>
            <w:tcW w:w="4015" w:type="dxa"/>
            <w:noWrap/>
            <w:hideMark/>
          </w:tcPr>
          <w:p w14:paraId="0E8C3929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građevina namijenjenih obavljanju javnog prijevoza</w:t>
            </w:r>
          </w:p>
        </w:tc>
        <w:tc>
          <w:tcPr>
            <w:tcW w:w="1541" w:type="dxa"/>
            <w:noWrap/>
            <w:hideMark/>
          </w:tcPr>
          <w:p w14:paraId="34799CF5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3.700,00</w:t>
            </w:r>
          </w:p>
        </w:tc>
        <w:tc>
          <w:tcPr>
            <w:tcW w:w="1541" w:type="dxa"/>
            <w:noWrap/>
            <w:hideMark/>
          </w:tcPr>
          <w:p w14:paraId="38872C49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34BAB8B9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E718A7" w:rsidRPr="00E718A7" w14:paraId="0482FB42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0BA89A45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A110011</w:t>
            </w:r>
          </w:p>
        </w:tc>
        <w:tc>
          <w:tcPr>
            <w:tcW w:w="4015" w:type="dxa"/>
            <w:noWrap/>
            <w:hideMark/>
          </w:tcPr>
          <w:p w14:paraId="5E32F87F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hidrantske mreže</w:t>
            </w:r>
          </w:p>
        </w:tc>
        <w:tc>
          <w:tcPr>
            <w:tcW w:w="1541" w:type="dxa"/>
            <w:noWrap/>
            <w:hideMark/>
          </w:tcPr>
          <w:p w14:paraId="6473F926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541" w:type="dxa"/>
            <w:noWrap/>
            <w:hideMark/>
          </w:tcPr>
          <w:p w14:paraId="502A1EEA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7AF0D75D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E718A7" w:rsidRPr="00E718A7" w14:paraId="43CD3E8B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378D863E" w14:textId="77777777" w:rsidR="00E718A7" w:rsidRPr="00E718A7" w:rsidRDefault="00E718A7" w:rsidP="00E718A7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1104</w:t>
            </w:r>
          </w:p>
        </w:tc>
        <w:tc>
          <w:tcPr>
            <w:tcW w:w="4015" w:type="dxa"/>
            <w:noWrap/>
            <w:hideMark/>
          </w:tcPr>
          <w:p w14:paraId="4B63CEB1" w14:textId="77777777" w:rsidR="00E718A7" w:rsidRPr="00E718A7" w:rsidRDefault="00E718A7" w:rsidP="00E718A7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OSTALE KOMUNALNE DJELATNOSTI</w:t>
            </w:r>
          </w:p>
        </w:tc>
        <w:tc>
          <w:tcPr>
            <w:tcW w:w="1541" w:type="dxa"/>
            <w:noWrap/>
            <w:hideMark/>
          </w:tcPr>
          <w:p w14:paraId="4EFD31CB" w14:textId="77777777" w:rsidR="00E718A7" w:rsidRPr="00E718A7" w:rsidRDefault="00E718A7" w:rsidP="00E718A7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171.500,00</w:t>
            </w:r>
          </w:p>
        </w:tc>
        <w:tc>
          <w:tcPr>
            <w:tcW w:w="1541" w:type="dxa"/>
            <w:noWrap/>
            <w:hideMark/>
          </w:tcPr>
          <w:p w14:paraId="626C1C40" w14:textId="77777777" w:rsidR="00E718A7" w:rsidRPr="00E718A7" w:rsidRDefault="00E718A7" w:rsidP="00E718A7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89.181,21</w:t>
            </w:r>
          </w:p>
        </w:tc>
        <w:tc>
          <w:tcPr>
            <w:tcW w:w="1417" w:type="dxa"/>
            <w:noWrap/>
            <w:hideMark/>
          </w:tcPr>
          <w:p w14:paraId="6884A57B" w14:textId="77777777" w:rsidR="00E718A7" w:rsidRPr="00E718A7" w:rsidRDefault="00E718A7" w:rsidP="00E718A7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52,00%</w:t>
            </w:r>
          </w:p>
        </w:tc>
      </w:tr>
      <w:tr w:rsidR="00E718A7" w:rsidRPr="00E718A7" w14:paraId="58ED3A92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33E532B0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A110001</w:t>
            </w:r>
          </w:p>
        </w:tc>
        <w:tc>
          <w:tcPr>
            <w:tcW w:w="4015" w:type="dxa"/>
            <w:noWrap/>
            <w:hideMark/>
          </w:tcPr>
          <w:p w14:paraId="7AD65BC2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Deratizacija i dezinsekcija</w:t>
            </w:r>
          </w:p>
        </w:tc>
        <w:tc>
          <w:tcPr>
            <w:tcW w:w="1541" w:type="dxa"/>
            <w:noWrap/>
            <w:hideMark/>
          </w:tcPr>
          <w:p w14:paraId="0C8B08CE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35.000,00</w:t>
            </w:r>
          </w:p>
        </w:tc>
        <w:tc>
          <w:tcPr>
            <w:tcW w:w="1541" w:type="dxa"/>
            <w:noWrap/>
            <w:hideMark/>
          </w:tcPr>
          <w:p w14:paraId="4CDD8CE5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4.625,17</w:t>
            </w:r>
          </w:p>
        </w:tc>
        <w:tc>
          <w:tcPr>
            <w:tcW w:w="1417" w:type="dxa"/>
            <w:noWrap/>
            <w:hideMark/>
          </w:tcPr>
          <w:p w14:paraId="6A7300A9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13,21%</w:t>
            </w:r>
          </w:p>
        </w:tc>
      </w:tr>
      <w:tr w:rsidR="00E718A7" w:rsidRPr="00E718A7" w14:paraId="4D8F28F1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5C6892FA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A110002</w:t>
            </w:r>
          </w:p>
        </w:tc>
        <w:tc>
          <w:tcPr>
            <w:tcW w:w="4015" w:type="dxa"/>
            <w:noWrap/>
            <w:hideMark/>
          </w:tcPr>
          <w:p w14:paraId="32DB5604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Najam komunalne opreme</w:t>
            </w:r>
          </w:p>
        </w:tc>
        <w:tc>
          <w:tcPr>
            <w:tcW w:w="1541" w:type="dxa"/>
            <w:noWrap/>
            <w:hideMark/>
          </w:tcPr>
          <w:p w14:paraId="237F9F16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noWrap/>
            <w:hideMark/>
          </w:tcPr>
          <w:p w14:paraId="7206DB57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0C199C55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E718A7" w:rsidRPr="00E718A7" w14:paraId="0AD9385F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4E6502E9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A110003</w:t>
            </w:r>
          </w:p>
        </w:tc>
        <w:tc>
          <w:tcPr>
            <w:tcW w:w="4015" w:type="dxa"/>
            <w:noWrap/>
            <w:hideMark/>
          </w:tcPr>
          <w:p w14:paraId="142D72CC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Usluge zbrinjavanja životinja bez nadzora</w:t>
            </w:r>
          </w:p>
        </w:tc>
        <w:tc>
          <w:tcPr>
            <w:tcW w:w="1541" w:type="dxa"/>
            <w:noWrap/>
            <w:hideMark/>
          </w:tcPr>
          <w:p w14:paraId="2E99C0E5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3.400,00</w:t>
            </w:r>
          </w:p>
        </w:tc>
        <w:tc>
          <w:tcPr>
            <w:tcW w:w="1541" w:type="dxa"/>
            <w:noWrap/>
            <w:hideMark/>
          </w:tcPr>
          <w:p w14:paraId="5B89E14A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10.441,00</w:t>
            </w:r>
          </w:p>
        </w:tc>
        <w:tc>
          <w:tcPr>
            <w:tcW w:w="1417" w:type="dxa"/>
            <w:noWrap/>
            <w:hideMark/>
          </w:tcPr>
          <w:p w14:paraId="5394B464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307,09%</w:t>
            </w:r>
          </w:p>
        </w:tc>
      </w:tr>
      <w:tr w:rsidR="00E718A7" w:rsidRPr="00E718A7" w14:paraId="10BBB13F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03894D9E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A110004</w:t>
            </w:r>
          </w:p>
        </w:tc>
        <w:tc>
          <w:tcPr>
            <w:tcW w:w="4015" w:type="dxa"/>
            <w:noWrap/>
            <w:hideMark/>
          </w:tcPr>
          <w:p w14:paraId="45734784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Usluge blagdanskog ukrašavanja grada</w:t>
            </w:r>
          </w:p>
        </w:tc>
        <w:tc>
          <w:tcPr>
            <w:tcW w:w="1541" w:type="dxa"/>
            <w:noWrap/>
            <w:hideMark/>
          </w:tcPr>
          <w:p w14:paraId="728B77BB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17.500,00</w:t>
            </w:r>
          </w:p>
        </w:tc>
        <w:tc>
          <w:tcPr>
            <w:tcW w:w="1541" w:type="dxa"/>
            <w:noWrap/>
            <w:hideMark/>
          </w:tcPr>
          <w:p w14:paraId="6B7D2689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5.947,50</w:t>
            </w:r>
          </w:p>
        </w:tc>
        <w:tc>
          <w:tcPr>
            <w:tcW w:w="1417" w:type="dxa"/>
            <w:noWrap/>
            <w:hideMark/>
          </w:tcPr>
          <w:p w14:paraId="3B3C3B4C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33,99%</w:t>
            </w:r>
          </w:p>
        </w:tc>
      </w:tr>
      <w:tr w:rsidR="00E718A7" w:rsidRPr="00E718A7" w14:paraId="7588C78C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0F86CEA5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A110005</w:t>
            </w:r>
          </w:p>
        </w:tc>
        <w:tc>
          <w:tcPr>
            <w:tcW w:w="4015" w:type="dxa"/>
            <w:noWrap/>
            <w:hideMark/>
          </w:tcPr>
          <w:p w14:paraId="41B23BA0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Ostale komunalne djelatnosti</w:t>
            </w:r>
          </w:p>
        </w:tc>
        <w:tc>
          <w:tcPr>
            <w:tcW w:w="1541" w:type="dxa"/>
            <w:noWrap/>
            <w:hideMark/>
          </w:tcPr>
          <w:p w14:paraId="6DA63EFE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108.800,00</w:t>
            </w:r>
          </w:p>
        </w:tc>
        <w:tc>
          <w:tcPr>
            <w:tcW w:w="1541" w:type="dxa"/>
            <w:noWrap/>
            <w:hideMark/>
          </w:tcPr>
          <w:p w14:paraId="1DCB7642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68.167,54</w:t>
            </w:r>
          </w:p>
        </w:tc>
        <w:tc>
          <w:tcPr>
            <w:tcW w:w="1417" w:type="dxa"/>
            <w:noWrap/>
            <w:hideMark/>
          </w:tcPr>
          <w:p w14:paraId="21848FAE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62,65%</w:t>
            </w:r>
          </w:p>
        </w:tc>
      </w:tr>
      <w:tr w:rsidR="00E718A7" w:rsidRPr="00E718A7" w14:paraId="607FC187" w14:textId="77777777" w:rsidTr="00E718A7">
        <w:trPr>
          <w:trHeight w:val="300"/>
        </w:trPr>
        <w:tc>
          <w:tcPr>
            <w:tcW w:w="1417" w:type="dxa"/>
            <w:noWrap/>
            <w:hideMark/>
          </w:tcPr>
          <w:p w14:paraId="0BE8C041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A110006</w:t>
            </w:r>
          </w:p>
        </w:tc>
        <w:tc>
          <w:tcPr>
            <w:tcW w:w="4015" w:type="dxa"/>
            <w:noWrap/>
            <w:hideMark/>
          </w:tcPr>
          <w:p w14:paraId="7B2446AA" w14:textId="77777777" w:rsidR="00E718A7" w:rsidRPr="00E718A7" w:rsidRDefault="00E718A7" w:rsidP="00E718A7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Aktivnost: Održavanje objekata kojima se ukida status javnog dobra u općoj uporabi</w:t>
            </w:r>
          </w:p>
        </w:tc>
        <w:tc>
          <w:tcPr>
            <w:tcW w:w="1541" w:type="dxa"/>
            <w:noWrap/>
            <w:hideMark/>
          </w:tcPr>
          <w:p w14:paraId="39B7EBC8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3.300,00</w:t>
            </w:r>
          </w:p>
        </w:tc>
        <w:tc>
          <w:tcPr>
            <w:tcW w:w="1541" w:type="dxa"/>
            <w:noWrap/>
            <w:hideMark/>
          </w:tcPr>
          <w:p w14:paraId="5FDD3397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4112330" w14:textId="77777777" w:rsidR="00E718A7" w:rsidRPr="00E718A7" w:rsidRDefault="00E718A7" w:rsidP="00E718A7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18A7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</w:tbl>
    <w:p w14:paraId="54A3A858" w14:textId="77777777" w:rsidR="0078597E" w:rsidRDefault="0078597E" w:rsidP="00C01A66">
      <w:pPr>
        <w:tabs>
          <w:tab w:val="left" w:pos="5520"/>
        </w:tabs>
        <w:rPr>
          <w:b/>
          <w:bCs/>
        </w:rPr>
      </w:pPr>
    </w:p>
    <w:p w14:paraId="1681355C" w14:textId="77777777" w:rsidR="000C2BB9" w:rsidRDefault="000C2BB9" w:rsidP="00C01A66">
      <w:pPr>
        <w:tabs>
          <w:tab w:val="left" w:pos="5520"/>
        </w:tabs>
        <w:rPr>
          <w:b/>
          <w:bCs/>
        </w:rPr>
      </w:pPr>
    </w:p>
    <w:p w14:paraId="4DD5C01D" w14:textId="77777777" w:rsidR="00766058" w:rsidRDefault="00766058" w:rsidP="00C01A66">
      <w:pPr>
        <w:tabs>
          <w:tab w:val="left" w:pos="5520"/>
        </w:tabs>
        <w:rPr>
          <w:b/>
          <w:bCs/>
        </w:rPr>
      </w:pPr>
    </w:p>
    <w:p w14:paraId="2865C98B" w14:textId="77777777" w:rsidR="00766058" w:rsidRDefault="00766058" w:rsidP="00C01A66">
      <w:pPr>
        <w:tabs>
          <w:tab w:val="left" w:pos="5520"/>
        </w:tabs>
        <w:rPr>
          <w:b/>
          <w:bCs/>
        </w:rPr>
      </w:pPr>
    </w:p>
    <w:p w14:paraId="2671A0D6" w14:textId="0FCF0207" w:rsidR="00766058" w:rsidRDefault="00766058" w:rsidP="00C01A66">
      <w:pPr>
        <w:tabs>
          <w:tab w:val="left" w:pos="5520"/>
        </w:tabs>
        <w:rPr>
          <w:b/>
          <w:bCs/>
        </w:rPr>
      </w:pPr>
      <w:r>
        <w:rPr>
          <w:b/>
          <w:bCs/>
        </w:rPr>
        <w:t xml:space="preserve">V.V. Program gradnje objekata i uređenja komunalne infrastrukture </w:t>
      </w:r>
    </w:p>
    <w:p w14:paraId="35BCE16C" w14:textId="2B5C8956" w:rsidR="00766058" w:rsidRDefault="00766058" w:rsidP="00C01A66">
      <w:pPr>
        <w:tabs>
          <w:tab w:val="left" w:pos="5520"/>
        </w:tabs>
        <w:rPr>
          <w:b/>
          <w:bCs/>
        </w:rPr>
      </w:pPr>
      <w:r>
        <w:rPr>
          <w:b/>
          <w:bCs/>
        </w:rPr>
        <w:t xml:space="preserve">Tablica 7.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4"/>
        <w:gridCol w:w="3722"/>
        <w:gridCol w:w="1460"/>
        <w:gridCol w:w="1293"/>
        <w:gridCol w:w="1293"/>
      </w:tblGrid>
      <w:tr w:rsidR="00766058" w:rsidRPr="00766058" w14:paraId="0299FB60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45AD4B8" w14:textId="77777777" w:rsidR="00766058" w:rsidRPr="00766058" w:rsidRDefault="00766058" w:rsidP="00766058">
            <w:pPr>
              <w:tabs>
                <w:tab w:val="left" w:pos="5520"/>
              </w:tabs>
              <w:rPr>
                <w:b/>
                <w:bCs/>
                <w:sz w:val="22"/>
                <w:szCs w:val="22"/>
              </w:rPr>
            </w:pPr>
            <w:r w:rsidRPr="00766058">
              <w:rPr>
                <w:b/>
                <w:bCs/>
                <w:sz w:val="22"/>
                <w:szCs w:val="22"/>
              </w:rPr>
              <w:t>1201</w:t>
            </w:r>
          </w:p>
        </w:tc>
        <w:tc>
          <w:tcPr>
            <w:tcW w:w="3756" w:type="dxa"/>
            <w:noWrap/>
            <w:hideMark/>
          </w:tcPr>
          <w:p w14:paraId="4B9F6B5D" w14:textId="77777777" w:rsidR="00766058" w:rsidRPr="00766058" w:rsidRDefault="00766058" w:rsidP="00766058">
            <w:pPr>
              <w:tabs>
                <w:tab w:val="left" w:pos="5520"/>
              </w:tabs>
              <w:rPr>
                <w:b/>
                <w:bCs/>
                <w:sz w:val="22"/>
                <w:szCs w:val="22"/>
              </w:rPr>
            </w:pPr>
            <w:r w:rsidRPr="00766058">
              <w:rPr>
                <w:b/>
                <w:bCs/>
                <w:sz w:val="22"/>
                <w:szCs w:val="22"/>
              </w:rPr>
              <w:t>Program: PODUZETNIČKA ZONA "VRANJAK"</w:t>
            </w:r>
          </w:p>
        </w:tc>
        <w:tc>
          <w:tcPr>
            <w:tcW w:w="1394" w:type="dxa"/>
            <w:noWrap/>
            <w:hideMark/>
          </w:tcPr>
          <w:p w14:paraId="3DE6A46E" w14:textId="77777777" w:rsidR="00766058" w:rsidRPr="00766058" w:rsidRDefault="00766058" w:rsidP="00766058">
            <w:pPr>
              <w:tabs>
                <w:tab w:val="left" w:pos="5520"/>
              </w:tabs>
              <w:rPr>
                <w:b/>
                <w:bCs/>
                <w:sz w:val="22"/>
                <w:szCs w:val="22"/>
              </w:rPr>
            </w:pPr>
            <w:r w:rsidRPr="00766058">
              <w:rPr>
                <w:b/>
                <w:bCs/>
                <w:sz w:val="22"/>
                <w:szCs w:val="22"/>
              </w:rPr>
              <w:t>56.000,00</w:t>
            </w:r>
          </w:p>
        </w:tc>
        <w:tc>
          <w:tcPr>
            <w:tcW w:w="1304" w:type="dxa"/>
            <w:noWrap/>
            <w:hideMark/>
          </w:tcPr>
          <w:p w14:paraId="543EDB0A" w14:textId="77777777" w:rsidR="00766058" w:rsidRPr="00766058" w:rsidRDefault="00766058" w:rsidP="00766058">
            <w:pPr>
              <w:tabs>
                <w:tab w:val="left" w:pos="5520"/>
              </w:tabs>
              <w:rPr>
                <w:b/>
                <w:bCs/>
                <w:sz w:val="22"/>
                <w:szCs w:val="22"/>
              </w:rPr>
            </w:pPr>
            <w:r w:rsidRPr="00766058">
              <w:rPr>
                <w:b/>
                <w:bCs/>
                <w:sz w:val="22"/>
                <w:szCs w:val="22"/>
              </w:rPr>
              <w:t>5.500,00</w:t>
            </w:r>
          </w:p>
        </w:tc>
        <w:tc>
          <w:tcPr>
            <w:tcW w:w="1304" w:type="dxa"/>
            <w:noWrap/>
            <w:hideMark/>
          </w:tcPr>
          <w:p w14:paraId="0A65E8A0" w14:textId="77777777" w:rsidR="00766058" w:rsidRPr="00766058" w:rsidRDefault="00766058" w:rsidP="00766058">
            <w:pPr>
              <w:tabs>
                <w:tab w:val="left" w:pos="5520"/>
              </w:tabs>
              <w:rPr>
                <w:b/>
                <w:bCs/>
                <w:sz w:val="22"/>
                <w:szCs w:val="22"/>
              </w:rPr>
            </w:pPr>
            <w:r w:rsidRPr="00766058">
              <w:rPr>
                <w:b/>
                <w:bCs/>
                <w:sz w:val="22"/>
                <w:szCs w:val="22"/>
              </w:rPr>
              <w:t>9,82%</w:t>
            </w:r>
          </w:p>
        </w:tc>
      </w:tr>
      <w:tr w:rsidR="00766058" w:rsidRPr="00766058" w14:paraId="4F2D1E6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684D3CA8" w14:textId="77777777" w:rsidR="00766058" w:rsidRPr="00766058" w:rsidRDefault="00766058" w:rsidP="00766058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K120001</w:t>
            </w:r>
          </w:p>
        </w:tc>
        <w:tc>
          <w:tcPr>
            <w:tcW w:w="3756" w:type="dxa"/>
            <w:noWrap/>
            <w:hideMark/>
          </w:tcPr>
          <w:p w14:paraId="761CEE5E" w14:textId="77777777" w:rsidR="00766058" w:rsidRPr="00766058" w:rsidRDefault="00766058" w:rsidP="00766058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 xml:space="preserve">Kapitalni projekt: Izgradnja poduzetničke zone </w:t>
            </w:r>
          </w:p>
        </w:tc>
        <w:tc>
          <w:tcPr>
            <w:tcW w:w="1394" w:type="dxa"/>
            <w:noWrap/>
            <w:hideMark/>
          </w:tcPr>
          <w:p w14:paraId="4EF18E39" w14:textId="77777777" w:rsidR="00766058" w:rsidRPr="00766058" w:rsidRDefault="00766058" w:rsidP="00766058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56.000,00</w:t>
            </w:r>
          </w:p>
        </w:tc>
        <w:tc>
          <w:tcPr>
            <w:tcW w:w="1304" w:type="dxa"/>
            <w:noWrap/>
            <w:hideMark/>
          </w:tcPr>
          <w:p w14:paraId="23EA0723" w14:textId="77777777" w:rsidR="00766058" w:rsidRPr="00766058" w:rsidRDefault="00766058" w:rsidP="00766058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5.500,00</w:t>
            </w:r>
          </w:p>
        </w:tc>
        <w:tc>
          <w:tcPr>
            <w:tcW w:w="1304" w:type="dxa"/>
            <w:noWrap/>
            <w:hideMark/>
          </w:tcPr>
          <w:p w14:paraId="642088CD" w14:textId="77777777" w:rsidR="00766058" w:rsidRPr="00766058" w:rsidRDefault="00766058" w:rsidP="00766058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766058">
              <w:rPr>
                <w:sz w:val="22"/>
                <w:szCs w:val="22"/>
              </w:rPr>
              <w:t>9,82%</w:t>
            </w:r>
          </w:p>
        </w:tc>
      </w:tr>
      <w:tr w:rsidR="00766058" w:rsidRPr="00766058" w14:paraId="3DC6E968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26B8F03" w14:textId="77777777" w:rsidR="00766058" w:rsidRPr="00766058" w:rsidRDefault="00766058" w:rsidP="0076605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1202</w:t>
            </w:r>
          </w:p>
        </w:tc>
        <w:tc>
          <w:tcPr>
            <w:tcW w:w="3756" w:type="dxa"/>
            <w:noWrap/>
            <w:hideMark/>
          </w:tcPr>
          <w:p w14:paraId="035A4C5F" w14:textId="77777777" w:rsidR="00766058" w:rsidRPr="00766058" w:rsidRDefault="00766058" w:rsidP="0076605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IZGRADNJA JAVNIH POVRŠINA</w:t>
            </w:r>
          </w:p>
        </w:tc>
        <w:tc>
          <w:tcPr>
            <w:tcW w:w="1394" w:type="dxa"/>
            <w:noWrap/>
            <w:hideMark/>
          </w:tcPr>
          <w:p w14:paraId="3A3089AA" w14:textId="77777777" w:rsidR="00766058" w:rsidRPr="00766058" w:rsidRDefault="00766058" w:rsidP="00766058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1.571.000,00</w:t>
            </w:r>
          </w:p>
        </w:tc>
        <w:tc>
          <w:tcPr>
            <w:tcW w:w="1304" w:type="dxa"/>
            <w:noWrap/>
            <w:hideMark/>
          </w:tcPr>
          <w:p w14:paraId="731E1E97" w14:textId="77777777" w:rsidR="00766058" w:rsidRPr="00766058" w:rsidRDefault="00766058" w:rsidP="00766058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187.411,85</w:t>
            </w:r>
          </w:p>
        </w:tc>
        <w:tc>
          <w:tcPr>
            <w:tcW w:w="1304" w:type="dxa"/>
            <w:noWrap/>
            <w:hideMark/>
          </w:tcPr>
          <w:p w14:paraId="65886CE8" w14:textId="77777777" w:rsidR="00766058" w:rsidRPr="00766058" w:rsidRDefault="00766058" w:rsidP="00766058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11,93%</w:t>
            </w:r>
          </w:p>
        </w:tc>
      </w:tr>
      <w:tr w:rsidR="00766058" w:rsidRPr="00766058" w14:paraId="601BA4C8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12F50E8E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K120003</w:t>
            </w:r>
          </w:p>
        </w:tc>
        <w:tc>
          <w:tcPr>
            <w:tcW w:w="3756" w:type="dxa"/>
            <w:noWrap/>
            <w:hideMark/>
          </w:tcPr>
          <w:p w14:paraId="5E3C13E8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Uređenje zelenih i javnih površina </w:t>
            </w:r>
          </w:p>
        </w:tc>
        <w:tc>
          <w:tcPr>
            <w:tcW w:w="1394" w:type="dxa"/>
            <w:noWrap/>
            <w:hideMark/>
          </w:tcPr>
          <w:p w14:paraId="41D49F92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870.000,00</w:t>
            </w:r>
          </w:p>
        </w:tc>
        <w:tc>
          <w:tcPr>
            <w:tcW w:w="1304" w:type="dxa"/>
            <w:noWrap/>
            <w:hideMark/>
          </w:tcPr>
          <w:p w14:paraId="14FA7A49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29.014,76</w:t>
            </w:r>
          </w:p>
        </w:tc>
        <w:tc>
          <w:tcPr>
            <w:tcW w:w="1304" w:type="dxa"/>
            <w:noWrap/>
            <w:hideMark/>
          </w:tcPr>
          <w:p w14:paraId="6831F89E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3,34%</w:t>
            </w:r>
          </w:p>
        </w:tc>
      </w:tr>
      <w:tr w:rsidR="00C91342" w:rsidRPr="00766058" w14:paraId="221E525E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6A869EF4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K120004</w:t>
            </w:r>
          </w:p>
        </w:tc>
        <w:tc>
          <w:tcPr>
            <w:tcW w:w="3756" w:type="dxa"/>
            <w:noWrap/>
            <w:hideMark/>
          </w:tcPr>
          <w:p w14:paraId="498CE336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i uređenje dječjih igrališta</w:t>
            </w:r>
          </w:p>
        </w:tc>
        <w:tc>
          <w:tcPr>
            <w:tcW w:w="1394" w:type="dxa"/>
            <w:noWrap/>
            <w:hideMark/>
          </w:tcPr>
          <w:p w14:paraId="3CF57006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417.000,00</w:t>
            </w:r>
          </w:p>
        </w:tc>
        <w:tc>
          <w:tcPr>
            <w:tcW w:w="1304" w:type="dxa"/>
            <w:noWrap/>
            <w:hideMark/>
          </w:tcPr>
          <w:p w14:paraId="2ED7751D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1AB4B8B2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766058" w:rsidRPr="00766058" w14:paraId="43544506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6E877D4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K120005</w:t>
            </w:r>
          </w:p>
        </w:tc>
        <w:tc>
          <w:tcPr>
            <w:tcW w:w="3756" w:type="dxa"/>
            <w:noWrap/>
            <w:hideMark/>
          </w:tcPr>
          <w:p w14:paraId="1F49AAA7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i uređenje sportskih centara</w:t>
            </w:r>
          </w:p>
        </w:tc>
        <w:tc>
          <w:tcPr>
            <w:tcW w:w="1394" w:type="dxa"/>
            <w:noWrap/>
            <w:hideMark/>
          </w:tcPr>
          <w:p w14:paraId="682489B4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233.000,00</w:t>
            </w:r>
          </w:p>
        </w:tc>
        <w:tc>
          <w:tcPr>
            <w:tcW w:w="1304" w:type="dxa"/>
            <w:noWrap/>
            <w:hideMark/>
          </w:tcPr>
          <w:p w14:paraId="5CC3B1B4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158.397,09</w:t>
            </w:r>
          </w:p>
        </w:tc>
        <w:tc>
          <w:tcPr>
            <w:tcW w:w="1304" w:type="dxa"/>
            <w:noWrap/>
            <w:hideMark/>
          </w:tcPr>
          <w:p w14:paraId="5A853522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67,98%</w:t>
            </w:r>
          </w:p>
        </w:tc>
      </w:tr>
      <w:tr w:rsidR="00766058" w:rsidRPr="00766058" w14:paraId="4A81172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1C0E8368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K120010</w:t>
            </w:r>
          </w:p>
        </w:tc>
        <w:tc>
          <w:tcPr>
            <w:tcW w:w="3756" w:type="dxa"/>
            <w:noWrap/>
            <w:hideMark/>
          </w:tcPr>
          <w:p w14:paraId="73D3DC22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platoa i postavljanje spremnika za vodu uz rijeku Maticu</w:t>
            </w:r>
          </w:p>
        </w:tc>
        <w:tc>
          <w:tcPr>
            <w:tcW w:w="1394" w:type="dxa"/>
            <w:noWrap/>
            <w:hideMark/>
          </w:tcPr>
          <w:p w14:paraId="21B0FCC3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6.000,00</w:t>
            </w:r>
          </w:p>
        </w:tc>
        <w:tc>
          <w:tcPr>
            <w:tcW w:w="1304" w:type="dxa"/>
            <w:noWrap/>
            <w:hideMark/>
          </w:tcPr>
          <w:p w14:paraId="1DDD9AC9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987D19B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766058" w:rsidRPr="00766058" w14:paraId="161D126B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16BC3248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K120021</w:t>
            </w:r>
          </w:p>
        </w:tc>
        <w:tc>
          <w:tcPr>
            <w:tcW w:w="3756" w:type="dxa"/>
            <w:noWrap/>
            <w:hideMark/>
          </w:tcPr>
          <w:p w14:paraId="4CE19ECA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parka za pse</w:t>
            </w:r>
          </w:p>
        </w:tc>
        <w:tc>
          <w:tcPr>
            <w:tcW w:w="1394" w:type="dxa"/>
            <w:noWrap/>
            <w:hideMark/>
          </w:tcPr>
          <w:p w14:paraId="069592CA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  <w:tc>
          <w:tcPr>
            <w:tcW w:w="1304" w:type="dxa"/>
            <w:noWrap/>
            <w:hideMark/>
          </w:tcPr>
          <w:p w14:paraId="332CF5F9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EE519D6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766058" w:rsidRPr="00766058" w14:paraId="7FC46793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EDE4F16" w14:textId="77777777" w:rsidR="00766058" w:rsidRPr="00766058" w:rsidRDefault="00766058" w:rsidP="00766058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1203</w:t>
            </w:r>
          </w:p>
        </w:tc>
        <w:tc>
          <w:tcPr>
            <w:tcW w:w="3756" w:type="dxa"/>
            <w:noWrap/>
            <w:hideMark/>
          </w:tcPr>
          <w:p w14:paraId="218CBB63" w14:textId="77777777" w:rsidR="00766058" w:rsidRPr="00766058" w:rsidRDefault="00766058" w:rsidP="00766058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IZGRADNJA NERAZVRSTANIH CESTA</w:t>
            </w:r>
          </w:p>
        </w:tc>
        <w:tc>
          <w:tcPr>
            <w:tcW w:w="1394" w:type="dxa"/>
            <w:noWrap/>
            <w:hideMark/>
          </w:tcPr>
          <w:p w14:paraId="2EFD87E1" w14:textId="77777777" w:rsidR="00766058" w:rsidRPr="00766058" w:rsidRDefault="00766058" w:rsidP="00766058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410.000,00</w:t>
            </w:r>
          </w:p>
        </w:tc>
        <w:tc>
          <w:tcPr>
            <w:tcW w:w="1304" w:type="dxa"/>
            <w:noWrap/>
            <w:hideMark/>
          </w:tcPr>
          <w:p w14:paraId="4F527E15" w14:textId="77777777" w:rsidR="00766058" w:rsidRPr="00766058" w:rsidRDefault="00766058" w:rsidP="00766058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28.228,50</w:t>
            </w:r>
          </w:p>
        </w:tc>
        <w:tc>
          <w:tcPr>
            <w:tcW w:w="1304" w:type="dxa"/>
            <w:noWrap/>
            <w:hideMark/>
          </w:tcPr>
          <w:p w14:paraId="2ABBC013" w14:textId="77777777" w:rsidR="00766058" w:rsidRPr="00766058" w:rsidRDefault="00766058" w:rsidP="00766058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6,89%</w:t>
            </w:r>
          </w:p>
        </w:tc>
      </w:tr>
      <w:tr w:rsidR="00766058" w:rsidRPr="00766058" w14:paraId="2B7F9D28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CC667F7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K120001</w:t>
            </w:r>
          </w:p>
        </w:tc>
        <w:tc>
          <w:tcPr>
            <w:tcW w:w="3756" w:type="dxa"/>
            <w:noWrap/>
            <w:hideMark/>
          </w:tcPr>
          <w:p w14:paraId="528F486B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Sanacija ulica MO </w:t>
            </w:r>
            <w:proofErr w:type="spellStart"/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Staševica</w:t>
            </w:r>
            <w:proofErr w:type="spellEnd"/>
          </w:p>
        </w:tc>
        <w:tc>
          <w:tcPr>
            <w:tcW w:w="1394" w:type="dxa"/>
            <w:noWrap/>
            <w:hideMark/>
          </w:tcPr>
          <w:p w14:paraId="5DDA1AF8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13497DBA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7.375,00</w:t>
            </w:r>
          </w:p>
        </w:tc>
        <w:tc>
          <w:tcPr>
            <w:tcW w:w="1304" w:type="dxa"/>
            <w:noWrap/>
            <w:hideMark/>
          </w:tcPr>
          <w:p w14:paraId="0569160D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766058" w:rsidRPr="00766058" w14:paraId="7A72F35C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3BECDF0D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K120003</w:t>
            </w:r>
          </w:p>
        </w:tc>
        <w:tc>
          <w:tcPr>
            <w:tcW w:w="3756" w:type="dxa"/>
            <w:noWrap/>
            <w:hideMark/>
          </w:tcPr>
          <w:p w14:paraId="0935B6D7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Sanacija i uređenje ulica na području Grada Ploča</w:t>
            </w:r>
          </w:p>
        </w:tc>
        <w:tc>
          <w:tcPr>
            <w:tcW w:w="1394" w:type="dxa"/>
            <w:noWrap/>
            <w:hideMark/>
          </w:tcPr>
          <w:p w14:paraId="6CB403A9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85.000,00</w:t>
            </w:r>
          </w:p>
        </w:tc>
        <w:tc>
          <w:tcPr>
            <w:tcW w:w="1304" w:type="dxa"/>
            <w:noWrap/>
            <w:hideMark/>
          </w:tcPr>
          <w:p w14:paraId="50FD5504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1.484,50</w:t>
            </w:r>
          </w:p>
        </w:tc>
        <w:tc>
          <w:tcPr>
            <w:tcW w:w="1304" w:type="dxa"/>
            <w:noWrap/>
            <w:hideMark/>
          </w:tcPr>
          <w:p w14:paraId="21B36694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1,75%</w:t>
            </w:r>
          </w:p>
        </w:tc>
      </w:tr>
      <w:tr w:rsidR="00766058" w:rsidRPr="00766058" w14:paraId="6A83E3F7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7B99CD62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K120004</w:t>
            </w:r>
          </w:p>
        </w:tc>
        <w:tc>
          <w:tcPr>
            <w:tcW w:w="3756" w:type="dxa"/>
            <w:noWrap/>
            <w:hideMark/>
          </w:tcPr>
          <w:p w14:paraId="566921D6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prometnice Banja-Komin</w:t>
            </w:r>
          </w:p>
        </w:tc>
        <w:tc>
          <w:tcPr>
            <w:tcW w:w="1394" w:type="dxa"/>
            <w:noWrap/>
            <w:hideMark/>
          </w:tcPr>
          <w:p w14:paraId="1A43E4B0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3.000,00</w:t>
            </w:r>
          </w:p>
        </w:tc>
        <w:tc>
          <w:tcPr>
            <w:tcW w:w="1304" w:type="dxa"/>
            <w:noWrap/>
            <w:hideMark/>
          </w:tcPr>
          <w:p w14:paraId="39A8F487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21B9A88D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766058" w:rsidRPr="00766058" w14:paraId="1785FD4C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EF41378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K120005</w:t>
            </w:r>
          </w:p>
        </w:tc>
        <w:tc>
          <w:tcPr>
            <w:tcW w:w="3756" w:type="dxa"/>
            <w:noWrap/>
            <w:hideMark/>
          </w:tcPr>
          <w:p w14:paraId="549BD815" w14:textId="77777777" w:rsidR="00766058" w:rsidRPr="00766058" w:rsidRDefault="00766058" w:rsidP="00766058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Sanacija ulica MO P. Blato</w:t>
            </w:r>
          </w:p>
        </w:tc>
        <w:tc>
          <w:tcPr>
            <w:tcW w:w="1394" w:type="dxa"/>
            <w:noWrap/>
            <w:hideMark/>
          </w:tcPr>
          <w:p w14:paraId="79BD7046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304" w:type="dxa"/>
            <w:noWrap/>
            <w:hideMark/>
          </w:tcPr>
          <w:p w14:paraId="738914AE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6CEB3CBD" w14:textId="77777777" w:rsidR="00766058" w:rsidRPr="00766058" w:rsidRDefault="00766058" w:rsidP="00766058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66058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05365689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F9323CE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K120013</w:t>
            </w:r>
          </w:p>
        </w:tc>
        <w:tc>
          <w:tcPr>
            <w:tcW w:w="3756" w:type="dxa"/>
            <w:noWrap/>
            <w:hideMark/>
          </w:tcPr>
          <w:p w14:paraId="1AD16064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Sanacija potpornih zidova (MO Ploče)</w:t>
            </w:r>
          </w:p>
        </w:tc>
        <w:tc>
          <w:tcPr>
            <w:tcW w:w="1394" w:type="dxa"/>
            <w:noWrap/>
            <w:hideMark/>
          </w:tcPr>
          <w:p w14:paraId="6D6BABE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65.000,00</w:t>
            </w:r>
          </w:p>
        </w:tc>
        <w:tc>
          <w:tcPr>
            <w:tcW w:w="1304" w:type="dxa"/>
            <w:noWrap/>
            <w:hideMark/>
          </w:tcPr>
          <w:p w14:paraId="56AE930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24AA8B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1A56884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3E69CD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K120017</w:t>
            </w:r>
          </w:p>
        </w:tc>
        <w:tc>
          <w:tcPr>
            <w:tcW w:w="3756" w:type="dxa"/>
            <w:noWrap/>
            <w:hideMark/>
          </w:tcPr>
          <w:p w14:paraId="011A9E73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Sanacija poljskih putova na području Grada Ploča</w:t>
            </w:r>
          </w:p>
        </w:tc>
        <w:tc>
          <w:tcPr>
            <w:tcW w:w="1394" w:type="dxa"/>
            <w:noWrap/>
            <w:hideMark/>
          </w:tcPr>
          <w:p w14:paraId="753D4ECE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40.000,00</w:t>
            </w:r>
          </w:p>
        </w:tc>
        <w:tc>
          <w:tcPr>
            <w:tcW w:w="1304" w:type="dxa"/>
            <w:noWrap/>
            <w:hideMark/>
          </w:tcPr>
          <w:p w14:paraId="4C053B6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7FC4F2D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739746F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741F38E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K120019</w:t>
            </w:r>
          </w:p>
        </w:tc>
        <w:tc>
          <w:tcPr>
            <w:tcW w:w="3756" w:type="dxa"/>
            <w:noWrap/>
            <w:hideMark/>
          </w:tcPr>
          <w:p w14:paraId="082939AC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i uređenje puteva do starih sela</w:t>
            </w:r>
          </w:p>
        </w:tc>
        <w:tc>
          <w:tcPr>
            <w:tcW w:w="1394" w:type="dxa"/>
            <w:noWrap/>
            <w:hideMark/>
          </w:tcPr>
          <w:p w14:paraId="30963FF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304" w:type="dxa"/>
            <w:noWrap/>
            <w:hideMark/>
          </w:tcPr>
          <w:p w14:paraId="0F20E7A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11.056,50</w:t>
            </w:r>
          </w:p>
        </w:tc>
        <w:tc>
          <w:tcPr>
            <w:tcW w:w="1304" w:type="dxa"/>
            <w:noWrap/>
            <w:hideMark/>
          </w:tcPr>
          <w:p w14:paraId="7C64EF3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36,86%</w:t>
            </w:r>
          </w:p>
        </w:tc>
      </w:tr>
      <w:tr w:rsidR="00567CE4" w:rsidRPr="00567CE4" w14:paraId="3B1C954F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B6C65D2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K120029</w:t>
            </w:r>
          </w:p>
        </w:tc>
        <w:tc>
          <w:tcPr>
            <w:tcW w:w="3756" w:type="dxa"/>
            <w:noWrap/>
            <w:hideMark/>
          </w:tcPr>
          <w:p w14:paraId="688B010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Izgradnja kružnog toka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ul.Crna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Rika,Gračka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, Biokovska, Ruđera Boškovića</w:t>
            </w:r>
          </w:p>
        </w:tc>
        <w:tc>
          <w:tcPr>
            <w:tcW w:w="1394" w:type="dxa"/>
            <w:noWrap/>
            <w:hideMark/>
          </w:tcPr>
          <w:p w14:paraId="37B35E4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304" w:type="dxa"/>
            <w:noWrap/>
            <w:hideMark/>
          </w:tcPr>
          <w:p w14:paraId="7734C9D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937,50</w:t>
            </w:r>
          </w:p>
        </w:tc>
        <w:tc>
          <w:tcPr>
            <w:tcW w:w="1304" w:type="dxa"/>
            <w:noWrap/>
            <w:hideMark/>
          </w:tcPr>
          <w:p w14:paraId="3F304D9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18,75%</w:t>
            </w:r>
          </w:p>
        </w:tc>
      </w:tr>
      <w:tr w:rsidR="00567CE4" w:rsidRPr="00567CE4" w14:paraId="7D820F69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BFC96EB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K120035</w:t>
            </w:r>
          </w:p>
        </w:tc>
        <w:tc>
          <w:tcPr>
            <w:tcW w:w="3756" w:type="dxa"/>
            <w:noWrap/>
            <w:hideMark/>
          </w:tcPr>
          <w:p w14:paraId="74367B0D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Sanacija ulica MO Komin</w:t>
            </w:r>
          </w:p>
        </w:tc>
        <w:tc>
          <w:tcPr>
            <w:tcW w:w="1394" w:type="dxa"/>
            <w:noWrap/>
            <w:hideMark/>
          </w:tcPr>
          <w:p w14:paraId="691B9F1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04" w:type="dxa"/>
            <w:noWrap/>
            <w:hideMark/>
          </w:tcPr>
          <w:p w14:paraId="63B297C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574D0F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135B5629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15EDB18F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K120037</w:t>
            </w:r>
          </w:p>
        </w:tc>
        <w:tc>
          <w:tcPr>
            <w:tcW w:w="3756" w:type="dxa"/>
            <w:noWrap/>
            <w:hideMark/>
          </w:tcPr>
          <w:p w14:paraId="5AC18953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Izvanredno održavanje ulice Vladimira Nazora</w:t>
            </w:r>
          </w:p>
        </w:tc>
        <w:tc>
          <w:tcPr>
            <w:tcW w:w="1394" w:type="dxa"/>
            <w:noWrap/>
            <w:hideMark/>
          </w:tcPr>
          <w:p w14:paraId="4DBE0ED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F4C3835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7.375,00</w:t>
            </w:r>
          </w:p>
        </w:tc>
        <w:tc>
          <w:tcPr>
            <w:tcW w:w="1304" w:type="dxa"/>
            <w:noWrap/>
            <w:hideMark/>
          </w:tcPr>
          <w:p w14:paraId="7A150485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2F2FDB62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118828F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K120043</w:t>
            </w:r>
          </w:p>
        </w:tc>
        <w:tc>
          <w:tcPr>
            <w:tcW w:w="3756" w:type="dxa"/>
            <w:noWrap/>
            <w:hideMark/>
          </w:tcPr>
          <w:p w14:paraId="64557832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Uređenje ulaza na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Baćinska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jezera</w:t>
            </w:r>
          </w:p>
        </w:tc>
        <w:tc>
          <w:tcPr>
            <w:tcW w:w="1394" w:type="dxa"/>
            <w:noWrap/>
            <w:hideMark/>
          </w:tcPr>
          <w:p w14:paraId="3DF1049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4.000,00</w:t>
            </w:r>
          </w:p>
        </w:tc>
        <w:tc>
          <w:tcPr>
            <w:tcW w:w="1304" w:type="dxa"/>
            <w:noWrap/>
            <w:hideMark/>
          </w:tcPr>
          <w:p w14:paraId="624AA47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64947A9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5CEB3E9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629CE16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K120044</w:t>
            </w:r>
          </w:p>
        </w:tc>
        <w:tc>
          <w:tcPr>
            <w:tcW w:w="3756" w:type="dxa"/>
            <w:noWrap/>
            <w:hideMark/>
          </w:tcPr>
          <w:p w14:paraId="3780188A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Izgradnja križanja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Rogotin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-Šarić Struga</w:t>
            </w:r>
          </w:p>
        </w:tc>
        <w:tc>
          <w:tcPr>
            <w:tcW w:w="1394" w:type="dxa"/>
            <w:noWrap/>
            <w:hideMark/>
          </w:tcPr>
          <w:p w14:paraId="483A441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3.000,00</w:t>
            </w:r>
          </w:p>
        </w:tc>
        <w:tc>
          <w:tcPr>
            <w:tcW w:w="1304" w:type="dxa"/>
            <w:noWrap/>
            <w:hideMark/>
          </w:tcPr>
          <w:p w14:paraId="7E531E0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5B35C5D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B50732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0385FD5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K120046</w:t>
            </w:r>
          </w:p>
        </w:tc>
        <w:tc>
          <w:tcPr>
            <w:tcW w:w="3756" w:type="dxa"/>
            <w:noWrap/>
            <w:hideMark/>
          </w:tcPr>
          <w:p w14:paraId="4DC14B3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Izgradnja mosta na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Ždriocu</w:t>
            </w:r>
            <w:proofErr w:type="spellEnd"/>
          </w:p>
        </w:tc>
        <w:tc>
          <w:tcPr>
            <w:tcW w:w="1394" w:type="dxa"/>
            <w:noWrap/>
            <w:hideMark/>
          </w:tcPr>
          <w:p w14:paraId="0B6F58D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150.000,00</w:t>
            </w:r>
          </w:p>
        </w:tc>
        <w:tc>
          <w:tcPr>
            <w:tcW w:w="1304" w:type="dxa"/>
            <w:noWrap/>
            <w:hideMark/>
          </w:tcPr>
          <w:p w14:paraId="49B0247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573ECC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AAB1B00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A4F0574" w14:textId="77777777" w:rsidR="00567CE4" w:rsidRPr="00567CE4" w:rsidRDefault="00567CE4" w:rsidP="00567CE4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1204</w:t>
            </w:r>
          </w:p>
        </w:tc>
        <w:tc>
          <w:tcPr>
            <w:tcW w:w="3756" w:type="dxa"/>
            <w:noWrap/>
            <w:hideMark/>
          </w:tcPr>
          <w:p w14:paraId="24911C58" w14:textId="77777777" w:rsidR="00567CE4" w:rsidRPr="00567CE4" w:rsidRDefault="00567CE4" w:rsidP="00567CE4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IZGRADNJA JAVNE RASVJETE</w:t>
            </w:r>
          </w:p>
        </w:tc>
        <w:tc>
          <w:tcPr>
            <w:tcW w:w="1394" w:type="dxa"/>
            <w:noWrap/>
            <w:hideMark/>
          </w:tcPr>
          <w:p w14:paraId="6DF91057" w14:textId="77777777" w:rsidR="00567CE4" w:rsidRPr="00567CE4" w:rsidRDefault="00567CE4" w:rsidP="00567CE4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304" w:type="dxa"/>
            <w:noWrap/>
            <w:hideMark/>
          </w:tcPr>
          <w:p w14:paraId="06F4D88A" w14:textId="77777777" w:rsidR="00567CE4" w:rsidRPr="00567CE4" w:rsidRDefault="00567CE4" w:rsidP="00567CE4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30.975,00</w:t>
            </w:r>
          </w:p>
        </w:tc>
        <w:tc>
          <w:tcPr>
            <w:tcW w:w="1304" w:type="dxa"/>
            <w:noWrap/>
            <w:hideMark/>
          </w:tcPr>
          <w:p w14:paraId="7A23CE37" w14:textId="77777777" w:rsidR="00567CE4" w:rsidRPr="00567CE4" w:rsidRDefault="00567CE4" w:rsidP="00567CE4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103,25%</w:t>
            </w:r>
          </w:p>
        </w:tc>
      </w:tr>
      <w:tr w:rsidR="00567CE4" w:rsidRPr="00567CE4" w14:paraId="26CC6E99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137B521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K120003</w:t>
            </w:r>
          </w:p>
        </w:tc>
        <w:tc>
          <w:tcPr>
            <w:tcW w:w="3756" w:type="dxa"/>
            <w:noWrap/>
            <w:hideMark/>
          </w:tcPr>
          <w:p w14:paraId="712C7C91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Javna rasvjeta MO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Staševica</w:t>
            </w:r>
            <w:proofErr w:type="spellEnd"/>
          </w:p>
        </w:tc>
        <w:tc>
          <w:tcPr>
            <w:tcW w:w="1394" w:type="dxa"/>
            <w:noWrap/>
            <w:hideMark/>
          </w:tcPr>
          <w:p w14:paraId="52B3AEC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243E12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800,00</w:t>
            </w:r>
          </w:p>
        </w:tc>
        <w:tc>
          <w:tcPr>
            <w:tcW w:w="1304" w:type="dxa"/>
            <w:noWrap/>
            <w:hideMark/>
          </w:tcPr>
          <w:p w14:paraId="11207F9D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705096BC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784CC1FF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K120005</w:t>
            </w:r>
          </w:p>
        </w:tc>
        <w:tc>
          <w:tcPr>
            <w:tcW w:w="3756" w:type="dxa"/>
            <w:noWrap/>
            <w:hideMark/>
          </w:tcPr>
          <w:p w14:paraId="33BB5723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Javna rasvjeta MO Komin</w:t>
            </w:r>
          </w:p>
        </w:tc>
        <w:tc>
          <w:tcPr>
            <w:tcW w:w="1394" w:type="dxa"/>
            <w:noWrap/>
            <w:hideMark/>
          </w:tcPr>
          <w:p w14:paraId="350AAB2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75552EBD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1.812,50</w:t>
            </w:r>
          </w:p>
        </w:tc>
        <w:tc>
          <w:tcPr>
            <w:tcW w:w="1304" w:type="dxa"/>
            <w:noWrap/>
            <w:hideMark/>
          </w:tcPr>
          <w:p w14:paraId="5FEF099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3CAED178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B2A14E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K120008</w:t>
            </w:r>
          </w:p>
        </w:tc>
        <w:tc>
          <w:tcPr>
            <w:tcW w:w="3756" w:type="dxa"/>
            <w:noWrap/>
            <w:hideMark/>
          </w:tcPr>
          <w:p w14:paraId="0870A2A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Javna rasvjeta MO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Rogotin</w:t>
            </w:r>
            <w:proofErr w:type="spellEnd"/>
          </w:p>
        </w:tc>
        <w:tc>
          <w:tcPr>
            <w:tcW w:w="1394" w:type="dxa"/>
            <w:noWrap/>
            <w:hideMark/>
          </w:tcPr>
          <w:p w14:paraId="641CDE7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428FA0D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3.250,00</w:t>
            </w:r>
          </w:p>
        </w:tc>
        <w:tc>
          <w:tcPr>
            <w:tcW w:w="1304" w:type="dxa"/>
            <w:noWrap/>
            <w:hideMark/>
          </w:tcPr>
          <w:p w14:paraId="1B19827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3475D1F7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1830C7B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K120015</w:t>
            </w:r>
          </w:p>
        </w:tc>
        <w:tc>
          <w:tcPr>
            <w:tcW w:w="3756" w:type="dxa"/>
            <w:noWrap/>
            <w:hideMark/>
          </w:tcPr>
          <w:p w14:paraId="226AB45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Javna rasvjeta na području Grada Ploča</w:t>
            </w:r>
          </w:p>
        </w:tc>
        <w:tc>
          <w:tcPr>
            <w:tcW w:w="1394" w:type="dxa"/>
            <w:noWrap/>
            <w:hideMark/>
          </w:tcPr>
          <w:p w14:paraId="72942C1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304" w:type="dxa"/>
            <w:noWrap/>
            <w:hideMark/>
          </w:tcPr>
          <w:p w14:paraId="396B5B3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24.312,50</w:t>
            </w:r>
          </w:p>
        </w:tc>
        <w:tc>
          <w:tcPr>
            <w:tcW w:w="1304" w:type="dxa"/>
            <w:noWrap/>
            <w:hideMark/>
          </w:tcPr>
          <w:p w14:paraId="669670E4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81,04%</w:t>
            </w:r>
          </w:p>
        </w:tc>
      </w:tr>
      <w:tr w:rsidR="00567CE4" w:rsidRPr="00567CE4" w14:paraId="35DF91BF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8569E86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K120017</w:t>
            </w:r>
          </w:p>
        </w:tc>
        <w:tc>
          <w:tcPr>
            <w:tcW w:w="3756" w:type="dxa"/>
            <w:noWrap/>
            <w:hideMark/>
          </w:tcPr>
          <w:p w14:paraId="3E0C5678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Javna rasvjeta MO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Baćina</w:t>
            </w:r>
            <w:proofErr w:type="spellEnd"/>
          </w:p>
        </w:tc>
        <w:tc>
          <w:tcPr>
            <w:tcW w:w="1394" w:type="dxa"/>
            <w:noWrap/>
            <w:hideMark/>
          </w:tcPr>
          <w:p w14:paraId="7A5E009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34ADB7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800,00</w:t>
            </w:r>
          </w:p>
        </w:tc>
        <w:tc>
          <w:tcPr>
            <w:tcW w:w="1304" w:type="dxa"/>
            <w:noWrap/>
            <w:hideMark/>
          </w:tcPr>
          <w:p w14:paraId="69D1EF8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435268D6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EEC152B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1205</w:t>
            </w:r>
          </w:p>
        </w:tc>
        <w:tc>
          <w:tcPr>
            <w:tcW w:w="3756" w:type="dxa"/>
            <w:noWrap/>
            <w:hideMark/>
          </w:tcPr>
          <w:p w14:paraId="21F50976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IZGRADNJA OBJEKATA I UREĐAJA VODOOPSKRBE</w:t>
            </w:r>
          </w:p>
        </w:tc>
        <w:tc>
          <w:tcPr>
            <w:tcW w:w="1394" w:type="dxa"/>
            <w:noWrap/>
            <w:hideMark/>
          </w:tcPr>
          <w:p w14:paraId="5078AA7D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951.000,00</w:t>
            </w:r>
          </w:p>
        </w:tc>
        <w:tc>
          <w:tcPr>
            <w:tcW w:w="1304" w:type="dxa"/>
            <w:noWrap/>
            <w:hideMark/>
          </w:tcPr>
          <w:p w14:paraId="4031673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61.589,02</w:t>
            </w:r>
          </w:p>
        </w:tc>
        <w:tc>
          <w:tcPr>
            <w:tcW w:w="1304" w:type="dxa"/>
            <w:noWrap/>
            <w:hideMark/>
          </w:tcPr>
          <w:p w14:paraId="4251486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6,48%</w:t>
            </w:r>
          </w:p>
        </w:tc>
      </w:tr>
      <w:tr w:rsidR="00567CE4" w:rsidRPr="00567CE4" w14:paraId="37824081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B8CAB0A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K120002</w:t>
            </w:r>
          </w:p>
        </w:tc>
        <w:tc>
          <w:tcPr>
            <w:tcW w:w="3756" w:type="dxa"/>
            <w:noWrap/>
            <w:hideMark/>
          </w:tcPr>
          <w:p w14:paraId="6E8A7B8B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cjevovoda Ploče - Komin</w:t>
            </w:r>
          </w:p>
        </w:tc>
        <w:tc>
          <w:tcPr>
            <w:tcW w:w="1394" w:type="dxa"/>
            <w:noWrap/>
            <w:hideMark/>
          </w:tcPr>
          <w:p w14:paraId="51B2665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65.000,00</w:t>
            </w:r>
          </w:p>
        </w:tc>
        <w:tc>
          <w:tcPr>
            <w:tcW w:w="1304" w:type="dxa"/>
            <w:noWrap/>
            <w:hideMark/>
          </w:tcPr>
          <w:p w14:paraId="440C6E7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2BF6D62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301FFE80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A65BBC8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K120005</w:t>
            </w:r>
          </w:p>
        </w:tc>
        <w:tc>
          <w:tcPr>
            <w:tcW w:w="3756" w:type="dxa"/>
            <w:noWrap/>
            <w:hideMark/>
          </w:tcPr>
          <w:p w14:paraId="1BE1B92E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aglomeracije Grada Ploča</w:t>
            </w:r>
          </w:p>
        </w:tc>
        <w:tc>
          <w:tcPr>
            <w:tcW w:w="1394" w:type="dxa"/>
            <w:noWrap/>
            <w:hideMark/>
          </w:tcPr>
          <w:p w14:paraId="3D89E52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106.000,00</w:t>
            </w:r>
          </w:p>
        </w:tc>
        <w:tc>
          <w:tcPr>
            <w:tcW w:w="1304" w:type="dxa"/>
            <w:noWrap/>
            <w:hideMark/>
          </w:tcPr>
          <w:p w14:paraId="6E2952B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61.589,02</w:t>
            </w:r>
          </w:p>
        </w:tc>
        <w:tc>
          <w:tcPr>
            <w:tcW w:w="1304" w:type="dxa"/>
            <w:noWrap/>
            <w:hideMark/>
          </w:tcPr>
          <w:p w14:paraId="4257749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58,10%</w:t>
            </w:r>
          </w:p>
        </w:tc>
      </w:tr>
      <w:tr w:rsidR="00567CE4" w:rsidRPr="00567CE4" w14:paraId="4A7BAD91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3A1502D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K120007</w:t>
            </w:r>
          </w:p>
        </w:tc>
        <w:tc>
          <w:tcPr>
            <w:tcW w:w="3756" w:type="dxa"/>
            <w:noWrap/>
            <w:hideMark/>
          </w:tcPr>
          <w:p w14:paraId="1E8DB58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Rekonstrukcija cjevovoda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Klokun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- Gradac</w:t>
            </w:r>
          </w:p>
        </w:tc>
        <w:tc>
          <w:tcPr>
            <w:tcW w:w="1394" w:type="dxa"/>
            <w:noWrap/>
            <w:hideMark/>
          </w:tcPr>
          <w:p w14:paraId="3D79B41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04" w:type="dxa"/>
            <w:noWrap/>
            <w:hideMark/>
          </w:tcPr>
          <w:p w14:paraId="00FEAB1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44F6C8A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78FEF4F1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D71B3E3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K120011</w:t>
            </w:r>
          </w:p>
        </w:tc>
        <w:tc>
          <w:tcPr>
            <w:tcW w:w="3756" w:type="dxa"/>
            <w:noWrap/>
            <w:hideMark/>
          </w:tcPr>
          <w:p w14:paraId="7E0ED0B2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Izrada programa smanjenja gubitka u vodovodnoj mreži</w:t>
            </w:r>
          </w:p>
        </w:tc>
        <w:tc>
          <w:tcPr>
            <w:tcW w:w="1394" w:type="dxa"/>
            <w:noWrap/>
            <w:hideMark/>
          </w:tcPr>
          <w:p w14:paraId="1969369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70.000,00</w:t>
            </w:r>
          </w:p>
        </w:tc>
        <w:tc>
          <w:tcPr>
            <w:tcW w:w="1304" w:type="dxa"/>
            <w:noWrap/>
            <w:hideMark/>
          </w:tcPr>
          <w:p w14:paraId="745F6D4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BEF5E3D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513F86D2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1C8238F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K120015</w:t>
            </w:r>
          </w:p>
        </w:tc>
        <w:tc>
          <w:tcPr>
            <w:tcW w:w="3756" w:type="dxa"/>
            <w:noWrap/>
            <w:hideMark/>
          </w:tcPr>
          <w:p w14:paraId="4ACF04C3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aglomeracije Grada Ploča - financiranje uređenja ulica (dodatni asfalt)</w:t>
            </w:r>
          </w:p>
        </w:tc>
        <w:tc>
          <w:tcPr>
            <w:tcW w:w="1394" w:type="dxa"/>
            <w:noWrap/>
            <w:hideMark/>
          </w:tcPr>
          <w:p w14:paraId="02F681D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450.000,00</w:t>
            </w:r>
          </w:p>
        </w:tc>
        <w:tc>
          <w:tcPr>
            <w:tcW w:w="1304" w:type="dxa"/>
            <w:noWrap/>
            <w:hideMark/>
          </w:tcPr>
          <w:p w14:paraId="45DEBB4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CC3DE9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375B623F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4810455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K120017</w:t>
            </w:r>
          </w:p>
        </w:tc>
        <w:tc>
          <w:tcPr>
            <w:tcW w:w="3756" w:type="dxa"/>
            <w:noWrap/>
            <w:hideMark/>
          </w:tcPr>
          <w:p w14:paraId="648FDF8F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Održavanje i sanacija prometnica u sklopu NPOO projekta (AG Komin - Banja, cjevovod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Rogotin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- Ušće)</w:t>
            </w:r>
          </w:p>
        </w:tc>
        <w:tc>
          <w:tcPr>
            <w:tcW w:w="1394" w:type="dxa"/>
            <w:noWrap/>
            <w:hideMark/>
          </w:tcPr>
          <w:p w14:paraId="7E80510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240.000,00</w:t>
            </w:r>
          </w:p>
        </w:tc>
        <w:tc>
          <w:tcPr>
            <w:tcW w:w="1304" w:type="dxa"/>
            <w:noWrap/>
            <w:hideMark/>
          </w:tcPr>
          <w:p w14:paraId="1BB08E5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F50BC7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472DC86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EECD0E5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1206</w:t>
            </w:r>
          </w:p>
        </w:tc>
        <w:tc>
          <w:tcPr>
            <w:tcW w:w="3756" w:type="dxa"/>
            <w:noWrap/>
            <w:hideMark/>
          </w:tcPr>
          <w:p w14:paraId="2E168ED3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IZGRADNJA OBJEKATA I UREĐAJA ODVODNJE</w:t>
            </w:r>
          </w:p>
        </w:tc>
        <w:tc>
          <w:tcPr>
            <w:tcW w:w="1394" w:type="dxa"/>
            <w:noWrap/>
            <w:hideMark/>
          </w:tcPr>
          <w:p w14:paraId="3271FFE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304" w:type="dxa"/>
            <w:noWrap/>
            <w:hideMark/>
          </w:tcPr>
          <w:p w14:paraId="5A7242A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875,00</w:t>
            </w:r>
          </w:p>
        </w:tc>
        <w:tc>
          <w:tcPr>
            <w:tcW w:w="1304" w:type="dxa"/>
            <w:noWrap/>
            <w:hideMark/>
          </w:tcPr>
          <w:p w14:paraId="6C744B1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17,50%</w:t>
            </w:r>
          </w:p>
        </w:tc>
      </w:tr>
      <w:tr w:rsidR="00567CE4" w:rsidRPr="00567CE4" w14:paraId="0C4DBA7B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582C8B1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K120006</w:t>
            </w:r>
          </w:p>
        </w:tc>
        <w:tc>
          <w:tcPr>
            <w:tcW w:w="3756" w:type="dxa"/>
            <w:noWrap/>
            <w:hideMark/>
          </w:tcPr>
          <w:p w14:paraId="0559D0C6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Izgradnja sustava oborinske odvodnje(MO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Rogotin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1394" w:type="dxa"/>
            <w:noWrap/>
            <w:hideMark/>
          </w:tcPr>
          <w:p w14:paraId="61AADE5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731FD7F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875,00</w:t>
            </w:r>
          </w:p>
        </w:tc>
        <w:tc>
          <w:tcPr>
            <w:tcW w:w="1304" w:type="dxa"/>
            <w:noWrap/>
            <w:hideMark/>
          </w:tcPr>
          <w:p w14:paraId="27ABFE7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2E1B51E7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E2B8A8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K120007</w:t>
            </w:r>
          </w:p>
        </w:tc>
        <w:tc>
          <w:tcPr>
            <w:tcW w:w="3756" w:type="dxa"/>
            <w:noWrap/>
            <w:hideMark/>
          </w:tcPr>
          <w:p w14:paraId="776D1ECC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sustava oborinske odvodnje</w:t>
            </w:r>
          </w:p>
        </w:tc>
        <w:tc>
          <w:tcPr>
            <w:tcW w:w="1394" w:type="dxa"/>
            <w:noWrap/>
            <w:hideMark/>
          </w:tcPr>
          <w:p w14:paraId="3043713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304" w:type="dxa"/>
            <w:noWrap/>
            <w:hideMark/>
          </w:tcPr>
          <w:p w14:paraId="265A530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722FC81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12A24D66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B4498A8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1207</w:t>
            </w:r>
          </w:p>
        </w:tc>
        <w:tc>
          <w:tcPr>
            <w:tcW w:w="3756" w:type="dxa"/>
            <w:noWrap/>
            <w:hideMark/>
          </w:tcPr>
          <w:p w14:paraId="61A113EF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IZRADA PROJEKTNE I PROSTORNO PLANSKE DOKUMENTACIJE</w:t>
            </w:r>
          </w:p>
        </w:tc>
        <w:tc>
          <w:tcPr>
            <w:tcW w:w="1394" w:type="dxa"/>
            <w:noWrap/>
            <w:hideMark/>
          </w:tcPr>
          <w:p w14:paraId="7B86ACC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286.150,00</w:t>
            </w:r>
          </w:p>
        </w:tc>
        <w:tc>
          <w:tcPr>
            <w:tcW w:w="1304" w:type="dxa"/>
            <w:noWrap/>
            <w:hideMark/>
          </w:tcPr>
          <w:p w14:paraId="789F899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30.153,75</w:t>
            </w:r>
          </w:p>
        </w:tc>
        <w:tc>
          <w:tcPr>
            <w:tcW w:w="1304" w:type="dxa"/>
            <w:noWrap/>
            <w:hideMark/>
          </w:tcPr>
          <w:p w14:paraId="1B6F29C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10,54%</w:t>
            </w:r>
          </w:p>
        </w:tc>
      </w:tr>
      <w:tr w:rsidR="00567CE4" w:rsidRPr="00567CE4" w14:paraId="744E9923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77800BEE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K120001</w:t>
            </w:r>
          </w:p>
        </w:tc>
        <w:tc>
          <w:tcPr>
            <w:tcW w:w="3756" w:type="dxa"/>
            <w:noWrap/>
            <w:hideMark/>
          </w:tcPr>
          <w:p w14:paraId="0656AD6A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Izrada UPU Ploče</w:t>
            </w:r>
          </w:p>
        </w:tc>
        <w:tc>
          <w:tcPr>
            <w:tcW w:w="1394" w:type="dxa"/>
            <w:noWrap/>
            <w:hideMark/>
          </w:tcPr>
          <w:p w14:paraId="46476A0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88.000,00</w:t>
            </w:r>
          </w:p>
        </w:tc>
        <w:tc>
          <w:tcPr>
            <w:tcW w:w="1304" w:type="dxa"/>
            <w:noWrap/>
            <w:hideMark/>
          </w:tcPr>
          <w:p w14:paraId="3CBBD3C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CB76FF4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03468358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7ADEDC2D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K120004</w:t>
            </w:r>
          </w:p>
        </w:tc>
        <w:tc>
          <w:tcPr>
            <w:tcW w:w="3756" w:type="dxa"/>
            <w:noWrap/>
            <w:hideMark/>
          </w:tcPr>
          <w:p w14:paraId="52B197E4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Katastarska izmjera na području Grada Ploča </w:t>
            </w:r>
          </w:p>
        </w:tc>
        <w:tc>
          <w:tcPr>
            <w:tcW w:w="1394" w:type="dxa"/>
            <w:noWrap/>
            <w:hideMark/>
          </w:tcPr>
          <w:p w14:paraId="021CF54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70.000,00</w:t>
            </w:r>
          </w:p>
        </w:tc>
        <w:tc>
          <w:tcPr>
            <w:tcW w:w="1304" w:type="dxa"/>
            <w:noWrap/>
            <w:hideMark/>
          </w:tcPr>
          <w:p w14:paraId="2BF94F8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3.875,00</w:t>
            </w:r>
          </w:p>
        </w:tc>
        <w:tc>
          <w:tcPr>
            <w:tcW w:w="1304" w:type="dxa"/>
            <w:noWrap/>
            <w:hideMark/>
          </w:tcPr>
          <w:p w14:paraId="166D89A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5,54%</w:t>
            </w:r>
          </w:p>
        </w:tc>
      </w:tr>
      <w:tr w:rsidR="00567CE4" w:rsidRPr="00567CE4" w14:paraId="1EEC5758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B8AFAD8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K120005</w:t>
            </w:r>
          </w:p>
        </w:tc>
        <w:tc>
          <w:tcPr>
            <w:tcW w:w="3756" w:type="dxa"/>
            <w:noWrap/>
            <w:hideMark/>
          </w:tcPr>
          <w:p w14:paraId="6DC5DFE5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Izrada projektne dokumentacije za izgradnju i sanaciju nogostupa na području Grada Ploča</w:t>
            </w:r>
          </w:p>
        </w:tc>
        <w:tc>
          <w:tcPr>
            <w:tcW w:w="1394" w:type="dxa"/>
            <w:noWrap/>
            <w:hideMark/>
          </w:tcPr>
          <w:p w14:paraId="5B2B539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6.000,00</w:t>
            </w:r>
          </w:p>
        </w:tc>
        <w:tc>
          <w:tcPr>
            <w:tcW w:w="1304" w:type="dxa"/>
            <w:noWrap/>
            <w:hideMark/>
          </w:tcPr>
          <w:p w14:paraId="2831D9C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1B7CD46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0B871C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BCA338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K120006</w:t>
            </w:r>
          </w:p>
        </w:tc>
        <w:tc>
          <w:tcPr>
            <w:tcW w:w="3756" w:type="dxa"/>
            <w:noWrap/>
            <w:hideMark/>
          </w:tcPr>
          <w:p w14:paraId="67276A4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Izrada projek.dokum.za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legaliz.objekata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i infrastrukture Grada Ploča</w:t>
            </w:r>
          </w:p>
        </w:tc>
        <w:tc>
          <w:tcPr>
            <w:tcW w:w="1394" w:type="dxa"/>
            <w:noWrap/>
            <w:hideMark/>
          </w:tcPr>
          <w:p w14:paraId="6E25146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304" w:type="dxa"/>
            <w:noWrap/>
            <w:hideMark/>
          </w:tcPr>
          <w:p w14:paraId="1F8BF7B4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7AA70D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3E4FDB20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62E3D5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K120009</w:t>
            </w:r>
          </w:p>
        </w:tc>
        <w:tc>
          <w:tcPr>
            <w:tcW w:w="3756" w:type="dxa"/>
            <w:noWrap/>
            <w:hideMark/>
          </w:tcPr>
          <w:p w14:paraId="56F444CA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Program stambenog zbrinjavanja</w:t>
            </w:r>
          </w:p>
        </w:tc>
        <w:tc>
          <w:tcPr>
            <w:tcW w:w="1394" w:type="dxa"/>
            <w:noWrap/>
            <w:hideMark/>
          </w:tcPr>
          <w:p w14:paraId="73FFE1D4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  <w:tc>
          <w:tcPr>
            <w:tcW w:w="1304" w:type="dxa"/>
            <w:noWrap/>
            <w:hideMark/>
          </w:tcPr>
          <w:p w14:paraId="3A878A2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7CCC226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71EDC756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BD76E2D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K120010</w:t>
            </w:r>
          </w:p>
        </w:tc>
        <w:tc>
          <w:tcPr>
            <w:tcW w:w="3756" w:type="dxa"/>
            <w:noWrap/>
            <w:hideMark/>
          </w:tcPr>
          <w:p w14:paraId="62AA7DA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Izrada projektne dokumentacije za uređenje javnih površina i objekata u vlasništvu Grada Ploča</w:t>
            </w:r>
          </w:p>
        </w:tc>
        <w:tc>
          <w:tcPr>
            <w:tcW w:w="1394" w:type="dxa"/>
            <w:noWrap/>
            <w:hideMark/>
          </w:tcPr>
          <w:p w14:paraId="41A255B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04" w:type="dxa"/>
            <w:noWrap/>
            <w:hideMark/>
          </w:tcPr>
          <w:p w14:paraId="0BBE36B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23.878,75</w:t>
            </w:r>
          </w:p>
        </w:tc>
        <w:tc>
          <w:tcPr>
            <w:tcW w:w="1304" w:type="dxa"/>
            <w:noWrap/>
            <w:hideMark/>
          </w:tcPr>
          <w:p w14:paraId="1B4645B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238,79%</w:t>
            </w:r>
          </w:p>
        </w:tc>
      </w:tr>
      <w:tr w:rsidR="00567CE4" w:rsidRPr="00567CE4" w14:paraId="3C869C9A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ADC6E56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K120011</w:t>
            </w:r>
          </w:p>
        </w:tc>
        <w:tc>
          <w:tcPr>
            <w:tcW w:w="3756" w:type="dxa"/>
            <w:noWrap/>
            <w:hideMark/>
          </w:tcPr>
          <w:p w14:paraId="0581B615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Izrada projekt.dokum.za komunalnu lučicu (Mala Pošta)</w:t>
            </w:r>
          </w:p>
        </w:tc>
        <w:tc>
          <w:tcPr>
            <w:tcW w:w="1394" w:type="dxa"/>
            <w:noWrap/>
            <w:hideMark/>
          </w:tcPr>
          <w:p w14:paraId="5C32F92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04" w:type="dxa"/>
            <w:noWrap/>
            <w:hideMark/>
          </w:tcPr>
          <w:p w14:paraId="2A8C34FE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FD9AB1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50D630F9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78A9D0A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K120013</w:t>
            </w:r>
          </w:p>
        </w:tc>
        <w:tc>
          <w:tcPr>
            <w:tcW w:w="3756" w:type="dxa"/>
            <w:noWrap/>
            <w:hideMark/>
          </w:tcPr>
          <w:p w14:paraId="25B68903" w14:textId="7B31A352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Izrada projektne dokumentacije za hortikulturna uređenja javnih i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dr.površina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u vlasništvu Grada Plo</w:t>
            </w:r>
            <w:r w:rsidRPr="00C91342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ča</w:t>
            </w:r>
          </w:p>
        </w:tc>
        <w:tc>
          <w:tcPr>
            <w:tcW w:w="1394" w:type="dxa"/>
            <w:noWrap/>
            <w:hideMark/>
          </w:tcPr>
          <w:p w14:paraId="66B2F2C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04" w:type="dxa"/>
            <w:noWrap/>
            <w:hideMark/>
          </w:tcPr>
          <w:p w14:paraId="7A17DEEE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0D0443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32AB854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20D3DA5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K120017</w:t>
            </w:r>
          </w:p>
        </w:tc>
        <w:tc>
          <w:tcPr>
            <w:tcW w:w="3756" w:type="dxa"/>
            <w:noWrap/>
            <w:hideMark/>
          </w:tcPr>
          <w:p w14:paraId="7102A5ED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Izrada projekt.dokument.za izgradnju prometnice D8-Sidrište</w:t>
            </w:r>
          </w:p>
        </w:tc>
        <w:tc>
          <w:tcPr>
            <w:tcW w:w="1394" w:type="dxa"/>
            <w:noWrap/>
            <w:hideMark/>
          </w:tcPr>
          <w:p w14:paraId="0DA45DC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04" w:type="dxa"/>
            <w:noWrap/>
            <w:hideMark/>
          </w:tcPr>
          <w:p w14:paraId="75AE455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39A67D8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34F98726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9C5E24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K120018</w:t>
            </w:r>
          </w:p>
        </w:tc>
        <w:tc>
          <w:tcPr>
            <w:tcW w:w="3756" w:type="dxa"/>
            <w:noWrap/>
            <w:hideMark/>
          </w:tcPr>
          <w:p w14:paraId="0786BFA6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Izrada projekt.dokument.za izgradnju prometnice D8 - buduća Luka nautičkog turizma</w:t>
            </w:r>
          </w:p>
        </w:tc>
        <w:tc>
          <w:tcPr>
            <w:tcW w:w="1394" w:type="dxa"/>
            <w:noWrap/>
            <w:hideMark/>
          </w:tcPr>
          <w:p w14:paraId="5772EE7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6F3316AE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1.750,00</w:t>
            </w:r>
          </w:p>
        </w:tc>
        <w:tc>
          <w:tcPr>
            <w:tcW w:w="1304" w:type="dxa"/>
            <w:noWrap/>
            <w:hideMark/>
          </w:tcPr>
          <w:p w14:paraId="15FA0E0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40A6CF94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310A904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K120030</w:t>
            </w:r>
          </w:p>
        </w:tc>
        <w:tc>
          <w:tcPr>
            <w:tcW w:w="3756" w:type="dxa"/>
            <w:noWrap/>
            <w:hideMark/>
          </w:tcPr>
          <w:p w14:paraId="7D4DC61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Uređenje sportsko društvenog centra u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Rogotinu</w:t>
            </w:r>
            <w:proofErr w:type="spellEnd"/>
          </w:p>
        </w:tc>
        <w:tc>
          <w:tcPr>
            <w:tcW w:w="1394" w:type="dxa"/>
            <w:noWrap/>
            <w:hideMark/>
          </w:tcPr>
          <w:p w14:paraId="2BB43E9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17.500,00</w:t>
            </w:r>
          </w:p>
        </w:tc>
        <w:tc>
          <w:tcPr>
            <w:tcW w:w="1304" w:type="dxa"/>
            <w:noWrap/>
            <w:hideMark/>
          </w:tcPr>
          <w:p w14:paraId="3CD1D43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8C60B2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7DAA0409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4CD11F1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K120031</w:t>
            </w:r>
          </w:p>
        </w:tc>
        <w:tc>
          <w:tcPr>
            <w:tcW w:w="3756" w:type="dxa"/>
            <w:noWrap/>
            <w:hideMark/>
          </w:tcPr>
          <w:p w14:paraId="5A3629A2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Izmještanje prometnice na lokaciji Pod cestom</w:t>
            </w:r>
          </w:p>
        </w:tc>
        <w:tc>
          <w:tcPr>
            <w:tcW w:w="1394" w:type="dxa"/>
            <w:noWrap/>
            <w:hideMark/>
          </w:tcPr>
          <w:p w14:paraId="6AE818F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12.000,00</w:t>
            </w:r>
          </w:p>
        </w:tc>
        <w:tc>
          <w:tcPr>
            <w:tcW w:w="1304" w:type="dxa"/>
            <w:noWrap/>
            <w:hideMark/>
          </w:tcPr>
          <w:p w14:paraId="6511E7B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7AF3FFD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20EADB96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6D03104A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K120032</w:t>
            </w:r>
          </w:p>
        </w:tc>
        <w:tc>
          <w:tcPr>
            <w:tcW w:w="3756" w:type="dxa"/>
            <w:noWrap/>
            <w:hideMark/>
          </w:tcPr>
          <w:p w14:paraId="2994E31E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Kapitalni projekt: Otkup zemljišta za potrebe izgradnje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kom.infrast.i</w:t>
            </w:r>
            <w:proofErr w:type="spellEnd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objekata </w:t>
            </w:r>
            <w:proofErr w:type="spellStart"/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javn.namjene</w:t>
            </w:r>
            <w:proofErr w:type="spellEnd"/>
          </w:p>
        </w:tc>
        <w:tc>
          <w:tcPr>
            <w:tcW w:w="1394" w:type="dxa"/>
            <w:noWrap/>
            <w:hideMark/>
          </w:tcPr>
          <w:p w14:paraId="4FD9AFA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04" w:type="dxa"/>
            <w:noWrap/>
            <w:hideMark/>
          </w:tcPr>
          <w:p w14:paraId="6D350EAE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27812811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61D920E5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DDC616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K120033</w:t>
            </w:r>
          </w:p>
        </w:tc>
        <w:tc>
          <w:tcPr>
            <w:tcW w:w="3756" w:type="dxa"/>
            <w:noWrap/>
            <w:hideMark/>
          </w:tcPr>
          <w:p w14:paraId="7A9066D4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Izrada prometnih elaborata za regulaciju prometa MO Komin</w:t>
            </w:r>
          </w:p>
        </w:tc>
        <w:tc>
          <w:tcPr>
            <w:tcW w:w="1394" w:type="dxa"/>
            <w:noWrap/>
            <w:hideMark/>
          </w:tcPr>
          <w:p w14:paraId="10C5D3B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304" w:type="dxa"/>
            <w:noWrap/>
            <w:hideMark/>
          </w:tcPr>
          <w:p w14:paraId="1058FC4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40D260D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2E4CB82F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805099E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K120035</w:t>
            </w:r>
          </w:p>
        </w:tc>
        <w:tc>
          <w:tcPr>
            <w:tcW w:w="3756" w:type="dxa"/>
            <w:noWrap/>
            <w:hideMark/>
          </w:tcPr>
          <w:p w14:paraId="544EC85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Strategija urbane zelene obnove</w:t>
            </w:r>
          </w:p>
        </w:tc>
        <w:tc>
          <w:tcPr>
            <w:tcW w:w="1394" w:type="dxa"/>
            <w:noWrap/>
            <w:hideMark/>
          </w:tcPr>
          <w:p w14:paraId="6D68988E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650,00</w:t>
            </w:r>
          </w:p>
        </w:tc>
        <w:tc>
          <w:tcPr>
            <w:tcW w:w="1304" w:type="dxa"/>
            <w:noWrap/>
            <w:hideMark/>
          </w:tcPr>
          <w:p w14:paraId="60B16F74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650,00</w:t>
            </w:r>
          </w:p>
        </w:tc>
        <w:tc>
          <w:tcPr>
            <w:tcW w:w="1304" w:type="dxa"/>
            <w:noWrap/>
            <w:hideMark/>
          </w:tcPr>
          <w:p w14:paraId="120D965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100,00%</w:t>
            </w:r>
          </w:p>
        </w:tc>
      </w:tr>
      <w:tr w:rsidR="00567CE4" w:rsidRPr="00567CE4" w14:paraId="0DA05D0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3CAAD0D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1208</w:t>
            </w:r>
          </w:p>
        </w:tc>
        <w:tc>
          <w:tcPr>
            <w:tcW w:w="3756" w:type="dxa"/>
            <w:noWrap/>
            <w:hideMark/>
          </w:tcPr>
          <w:p w14:paraId="515DA51D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ZAŠTITA I UREĐENJE OKOLIŠA</w:t>
            </w:r>
          </w:p>
        </w:tc>
        <w:tc>
          <w:tcPr>
            <w:tcW w:w="1394" w:type="dxa"/>
            <w:noWrap/>
            <w:hideMark/>
          </w:tcPr>
          <w:p w14:paraId="109417C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168.000,00</w:t>
            </w:r>
          </w:p>
        </w:tc>
        <w:tc>
          <w:tcPr>
            <w:tcW w:w="1304" w:type="dxa"/>
            <w:noWrap/>
            <w:hideMark/>
          </w:tcPr>
          <w:p w14:paraId="1C605F9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32.495,50</w:t>
            </w:r>
          </w:p>
        </w:tc>
        <w:tc>
          <w:tcPr>
            <w:tcW w:w="1304" w:type="dxa"/>
            <w:noWrap/>
            <w:hideMark/>
          </w:tcPr>
          <w:p w14:paraId="3840163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19,34%</w:t>
            </w:r>
          </w:p>
        </w:tc>
      </w:tr>
      <w:tr w:rsidR="00567CE4" w:rsidRPr="00567CE4" w14:paraId="727FE3DA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C1E69E1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K120010</w:t>
            </w:r>
          </w:p>
        </w:tc>
        <w:tc>
          <w:tcPr>
            <w:tcW w:w="3756" w:type="dxa"/>
            <w:noWrap/>
            <w:hideMark/>
          </w:tcPr>
          <w:p w14:paraId="15D0B262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Sufinanciranje izrade projektne dokumentacija za fotonaponske sustave na stambenim objektima</w:t>
            </w:r>
          </w:p>
        </w:tc>
        <w:tc>
          <w:tcPr>
            <w:tcW w:w="1394" w:type="dxa"/>
            <w:noWrap/>
            <w:hideMark/>
          </w:tcPr>
          <w:p w14:paraId="025824A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3.000,00</w:t>
            </w:r>
          </w:p>
        </w:tc>
        <w:tc>
          <w:tcPr>
            <w:tcW w:w="1304" w:type="dxa"/>
            <w:noWrap/>
            <w:hideMark/>
          </w:tcPr>
          <w:p w14:paraId="0A840134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52EE124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0F57AD26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D16D973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K120013</w:t>
            </w:r>
          </w:p>
        </w:tc>
        <w:tc>
          <w:tcPr>
            <w:tcW w:w="3756" w:type="dxa"/>
            <w:noWrap/>
            <w:hideMark/>
          </w:tcPr>
          <w:p w14:paraId="50A0F02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Ugradnja fotonaponskih elektrana na objekte javne namjene</w:t>
            </w:r>
          </w:p>
        </w:tc>
        <w:tc>
          <w:tcPr>
            <w:tcW w:w="1394" w:type="dxa"/>
            <w:noWrap/>
            <w:hideMark/>
          </w:tcPr>
          <w:p w14:paraId="492A378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304" w:type="dxa"/>
            <w:noWrap/>
            <w:hideMark/>
          </w:tcPr>
          <w:p w14:paraId="73A004D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829,50</w:t>
            </w:r>
          </w:p>
        </w:tc>
        <w:tc>
          <w:tcPr>
            <w:tcW w:w="1304" w:type="dxa"/>
            <w:noWrap/>
            <w:hideMark/>
          </w:tcPr>
          <w:p w14:paraId="5CE66FB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16,59%</w:t>
            </w:r>
          </w:p>
        </w:tc>
      </w:tr>
      <w:tr w:rsidR="00567CE4" w:rsidRPr="00567CE4" w14:paraId="724D3C51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04B5BC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K120015</w:t>
            </w:r>
          </w:p>
        </w:tc>
        <w:tc>
          <w:tcPr>
            <w:tcW w:w="3756" w:type="dxa"/>
            <w:noWrap/>
            <w:hideMark/>
          </w:tcPr>
          <w:p w14:paraId="260CF4FB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Sanacija divljih deponija na području Grada Ploča</w:t>
            </w:r>
          </w:p>
        </w:tc>
        <w:tc>
          <w:tcPr>
            <w:tcW w:w="1394" w:type="dxa"/>
            <w:noWrap/>
            <w:hideMark/>
          </w:tcPr>
          <w:p w14:paraId="5A1EF52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04" w:type="dxa"/>
            <w:noWrap/>
            <w:hideMark/>
          </w:tcPr>
          <w:p w14:paraId="70B0E82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4DC74FCD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6020FEDF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1DDF7E07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K120016</w:t>
            </w:r>
          </w:p>
        </w:tc>
        <w:tc>
          <w:tcPr>
            <w:tcW w:w="3756" w:type="dxa"/>
            <w:noWrap/>
            <w:hideMark/>
          </w:tcPr>
          <w:p w14:paraId="21F29F46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Sufinanciranje energetske obnove obiteljskih kuća i višestambenih objekata</w:t>
            </w:r>
          </w:p>
        </w:tc>
        <w:tc>
          <w:tcPr>
            <w:tcW w:w="1394" w:type="dxa"/>
            <w:noWrap/>
            <w:hideMark/>
          </w:tcPr>
          <w:p w14:paraId="73D4F3E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130.000,00</w:t>
            </w:r>
          </w:p>
        </w:tc>
        <w:tc>
          <w:tcPr>
            <w:tcW w:w="1304" w:type="dxa"/>
            <w:noWrap/>
            <w:hideMark/>
          </w:tcPr>
          <w:p w14:paraId="4B9DDCF4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31.666,00</w:t>
            </w:r>
          </w:p>
        </w:tc>
        <w:tc>
          <w:tcPr>
            <w:tcW w:w="1304" w:type="dxa"/>
            <w:noWrap/>
            <w:hideMark/>
          </w:tcPr>
          <w:p w14:paraId="0232562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24,36%</w:t>
            </w:r>
          </w:p>
        </w:tc>
      </w:tr>
      <w:tr w:rsidR="00567CE4" w:rsidRPr="00567CE4" w14:paraId="274ABE4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3CE4DCA2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K120017</w:t>
            </w:r>
          </w:p>
        </w:tc>
        <w:tc>
          <w:tcPr>
            <w:tcW w:w="3756" w:type="dxa"/>
            <w:noWrap/>
            <w:hideMark/>
          </w:tcPr>
          <w:p w14:paraId="32F11981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Uređenje fasada višestambenih objekata</w:t>
            </w:r>
          </w:p>
        </w:tc>
        <w:tc>
          <w:tcPr>
            <w:tcW w:w="1394" w:type="dxa"/>
            <w:noWrap/>
            <w:hideMark/>
          </w:tcPr>
          <w:p w14:paraId="666C3DD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304" w:type="dxa"/>
            <w:noWrap/>
            <w:hideMark/>
          </w:tcPr>
          <w:p w14:paraId="618DEC2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1CA955B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6770C955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7378488C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1209</w:t>
            </w:r>
          </w:p>
        </w:tc>
        <w:tc>
          <w:tcPr>
            <w:tcW w:w="3756" w:type="dxa"/>
            <w:noWrap/>
            <w:hideMark/>
          </w:tcPr>
          <w:p w14:paraId="68840FCE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IZGRADNJA, OBNOVA I KUPNJA OBJEKATA</w:t>
            </w:r>
          </w:p>
        </w:tc>
        <w:tc>
          <w:tcPr>
            <w:tcW w:w="1394" w:type="dxa"/>
            <w:noWrap/>
            <w:hideMark/>
          </w:tcPr>
          <w:p w14:paraId="2D5F2FD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2.896.500,00</w:t>
            </w:r>
          </w:p>
        </w:tc>
        <w:tc>
          <w:tcPr>
            <w:tcW w:w="1304" w:type="dxa"/>
            <w:noWrap/>
            <w:hideMark/>
          </w:tcPr>
          <w:p w14:paraId="37BC5647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63.308,65</w:t>
            </w:r>
          </w:p>
        </w:tc>
        <w:tc>
          <w:tcPr>
            <w:tcW w:w="1304" w:type="dxa"/>
            <w:noWrap/>
            <w:hideMark/>
          </w:tcPr>
          <w:p w14:paraId="4F46BA95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2,19%</w:t>
            </w:r>
          </w:p>
        </w:tc>
      </w:tr>
      <w:tr w:rsidR="00567CE4" w:rsidRPr="00567CE4" w14:paraId="5D61BB2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6CE8AE9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K120001</w:t>
            </w:r>
          </w:p>
        </w:tc>
        <w:tc>
          <w:tcPr>
            <w:tcW w:w="3756" w:type="dxa"/>
            <w:noWrap/>
            <w:hideMark/>
          </w:tcPr>
          <w:p w14:paraId="357F12ED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mrtvačnica i mjesnih groblja</w:t>
            </w:r>
          </w:p>
        </w:tc>
        <w:tc>
          <w:tcPr>
            <w:tcW w:w="1394" w:type="dxa"/>
            <w:noWrap/>
            <w:hideMark/>
          </w:tcPr>
          <w:p w14:paraId="6705E4F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20.000,00</w:t>
            </w:r>
          </w:p>
        </w:tc>
        <w:tc>
          <w:tcPr>
            <w:tcW w:w="1304" w:type="dxa"/>
            <w:noWrap/>
            <w:hideMark/>
          </w:tcPr>
          <w:p w14:paraId="682CB90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50,00</w:t>
            </w:r>
          </w:p>
        </w:tc>
        <w:tc>
          <w:tcPr>
            <w:tcW w:w="1304" w:type="dxa"/>
            <w:noWrap/>
            <w:hideMark/>
          </w:tcPr>
          <w:p w14:paraId="16C34CB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0,25%</w:t>
            </w:r>
          </w:p>
        </w:tc>
      </w:tr>
      <w:tr w:rsidR="00567CE4" w:rsidRPr="00567CE4" w14:paraId="2C3A587A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1A8ED6F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K120004</w:t>
            </w:r>
          </w:p>
        </w:tc>
        <w:tc>
          <w:tcPr>
            <w:tcW w:w="3756" w:type="dxa"/>
            <w:noWrap/>
            <w:hideMark/>
          </w:tcPr>
          <w:p w14:paraId="08A98296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Obnova i rekonstrukcija domova kulture</w:t>
            </w:r>
          </w:p>
        </w:tc>
        <w:tc>
          <w:tcPr>
            <w:tcW w:w="1394" w:type="dxa"/>
            <w:noWrap/>
            <w:hideMark/>
          </w:tcPr>
          <w:p w14:paraId="6A035E0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455.000,00</w:t>
            </w:r>
          </w:p>
        </w:tc>
        <w:tc>
          <w:tcPr>
            <w:tcW w:w="1304" w:type="dxa"/>
            <w:noWrap/>
            <w:hideMark/>
          </w:tcPr>
          <w:p w14:paraId="1E3A17F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63.258,65</w:t>
            </w:r>
          </w:p>
        </w:tc>
        <w:tc>
          <w:tcPr>
            <w:tcW w:w="1304" w:type="dxa"/>
            <w:noWrap/>
            <w:hideMark/>
          </w:tcPr>
          <w:p w14:paraId="35B6432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13,90%</w:t>
            </w:r>
          </w:p>
        </w:tc>
      </w:tr>
      <w:tr w:rsidR="00567CE4" w:rsidRPr="00567CE4" w14:paraId="6255D46A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2B62C3F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K120016</w:t>
            </w:r>
          </w:p>
        </w:tc>
        <w:tc>
          <w:tcPr>
            <w:tcW w:w="3756" w:type="dxa"/>
            <w:noWrap/>
            <w:hideMark/>
          </w:tcPr>
          <w:p w14:paraId="31CC3BF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Uređenje i rekonstrukcija Dječjeg vrtića Ploče</w:t>
            </w:r>
          </w:p>
        </w:tc>
        <w:tc>
          <w:tcPr>
            <w:tcW w:w="1394" w:type="dxa"/>
            <w:noWrap/>
            <w:hideMark/>
          </w:tcPr>
          <w:p w14:paraId="032431DE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1.963.500,00</w:t>
            </w:r>
          </w:p>
        </w:tc>
        <w:tc>
          <w:tcPr>
            <w:tcW w:w="1304" w:type="dxa"/>
            <w:noWrap/>
            <w:hideMark/>
          </w:tcPr>
          <w:p w14:paraId="1E99D6A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ECCD00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12A46085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EBA39FD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K120018</w:t>
            </w:r>
          </w:p>
        </w:tc>
        <w:tc>
          <w:tcPr>
            <w:tcW w:w="3756" w:type="dxa"/>
            <w:noWrap/>
            <w:hideMark/>
          </w:tcPr>
          <w:p w14:paraId="294F7B00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Uređenje spomen sobe Zelena tabla Male Bare</w:t>
            </w:r>
          </w:p>
        </w:tc>
        <w:tc>
          <w:tcPr>
            <w:tcW w:w="1394" w:type="dxa"/>
            <w:noWrap/>
            <w:hideMark/>
          </w:tcPr>
          <w:p w14:paraId="692E6B8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5.000,00</w:t>
            </w:r>
          </w:p>
        </w:tc>
        <w:tc>
          <w:tcPr>
            <w:tcW w:w="1304" w:type="dxa"/>
            <w:noWrap/>
            <w:hideMark/>
          </w:tcPr>
          <w:p w14:paraId="34E0845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2441FD6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0989C983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57873104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K120019</w:t>
            </w:r>
          </w:p>
        </w:tc>
        <w:tc>
          <w:tcPr>
            <w:tcW w:w="3756" w:type="dxa"/>
            <w:noWrap/>
            <w:hideMark/>
          </w:tcPr>
          <w:p w14:paraId="78705558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Energetska obnova Vatrogasnog doma Ploče</w:t>
            </w:r>
          </w:p>
        </w:tc>
        <w:tc>
          <w:tcPr>
            <w:tcW w:w="1394" w:type="dxa"/>
            <w:noWrap/>
            <w:hideMark/>
          </w:tcPr>
          <w:p w14:paraId="08870A95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438.000,00</w:t>
            </w:r>
          </w:p>
        </w:tc>
        <w:tc>
          <w:tcPr>
            <w:tcW w:w="1304" w:type="dxa"/>
            <w:noWrap/>
            <w:hideMark/>
          </w:tcPr>
          <w:p w14:paraId="3FADA21D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330FDEB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18FB780D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1E5E9EAB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K120020</w:t>
            </w:r>
          </w:p>
        </w:tc>
        <w:tc>
          <w:tcPr>
            <w:tcW w:w="3756" w:type="dxa"/>
            <w:noWrap/>
            <w:hideMark/>
          </w:tcPr>
          <w:p w14:paraId="2EF9BBEC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Izgradnja platoa za smještaj kontejnera DVD Komin</w:t>
            </w:r>
          </w:p>
        </w:tc>
        <w:tc>
          <w:tcPr>
            <w:tcW w:w="1394" w:type="dxa"/>
            <w:noWrap/>
            <w:hideMark/>
          </w:tcPr>
          <w:p w14:paraId="3DAB103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15.000,00</w:t>
            </w:r>
          </w:p>
        </w:tc>
        <w:tc>
          <w:tcPr>
            <w:tcW w:w="1304" w:type="dxa"/>
            <w:noWrap/>
            <w:hideMark/>
          </w:tcPr>
          <w:p w14:paraId="669B0D9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656619D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B3D59C2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2A4273AB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1210</w:t>
            </w:r>
          </w:p>
        </w:tc>
        <w:tc>
          <w:tcPr>
            <w:tcW w:w="3756" w:type="dxa"/>
            <w:noWrap/>
            <w:hideMark/>
          </w:tcPr>
          <w:p w14:paraId="525C42D5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ZAJEDNO ZA LJEPŠI GRAD</w:t>
            </w:r>
          </w:p>
        </w:tc>
        <w:tc>
          <w:tcPr>
            <w:tcW w:w="1394" w:type="dxa"/>
            <w:noWrap/>
            <w:hideMark/>
          </w:tcPr>
          <w:p w14:paraId="387CCBCF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26A3834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3.144,50</w:t>
            </w:r>
          </w:p>
        </w:tc>
        <w:tc>
          <w:tcPr>
            <w:tcW w:w="1304" w:type="dxa"/>
            <w:noWrap/>
            <w:hideMark/>
          </w:tcPr>
          <w:p w14:paraId="69F08579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647D8CC7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0BA9496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K120003</w:t>
            </w:r>
          </w:p>
        </w:tc>
        <w:tc>
          <w:tcPr>
            <w:tcW w:w="3756" w:type="dxa"/>
            <w:noWrap/>
            <w:hideMark/>
          </w:tcPr>
          <w:p w14:paraId="78720421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Uređenje i izgradnja dječjih igrališta i sportskih centara</w:t>
            </w:r>
          </w:p>
        </w:tc>
        <w:tc>
          <w:tcPr>
            <w:tcW w:w="1394" w:type="dxa"/>
            <w:noWrap/>
            <w:hideMark/>
          </w:tcPr>
          <w:p w14:paraId="49154EAA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5177A028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3.144,50</w:t>
            </w:r>
          </w:p>
        </w:tc>
        <w:tc>
          <w:tcPr>
            <w:tcW w:w="1304" w:type="dxa"/>
            <w:noWrap/>
            <w:hideMark/>
          </w:tcPr>
          <w:p w14:paraId="7547F48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67CE4" w:rsidRPr="00567CE4" w14:paraId="13DB681A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4FB51A05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1211</w:t>
            </w:r>
          </w:p>
        </w:tc>
        <w:tc>
          <w:tcPr>
            <w:tcW w:w="3756" w:type="dxa"/>
            <w:noWrap/>
            <w:hideMark/>
          </w:tcPr>
          <w:p w14:paraId="71B424AE" w14:textId="77777777" w:rsidR="00567CE4" w:rsidRPr="00567CE4" w:rsidRDefault="00567CE4" w:rsidP="00567CE4">
            <w:pP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Program: MANJI KOMUNALNI ZAHVATI NA PODRUČJU GRADA PLOČA</w:t>
            </w:r>
          </w:p>
        </w:tc>
        <w:tc>
          <w:tcPr>
            <w:tcW w:w="1394" w:type="dxa"/>
            <w:noWrap/>
            <w:hideMark/>
          </w:tcPr>
          <w:p w14:paraId="26F01283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  <w:tc>
          <w:tcPr>
            <w:tcW w:w="1304" w:type="dxa"/>
            <w:noWrap/>
            <w:hideMark/>
          </w:tcPr>
          <w:p w14:paraId="6302E342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00D5599C" w14:textId="77777777" w:rsidR="00567CE4" w:rsidRPr="00567CE4" w:rsidRDefault="00567CE4" w:rsidP="00567CE4">
            <w:pPr>
              <w:jc w:val="right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  <w:tr w:rsidR="00567CE4" w:rsidRPr="00567CE4" w14:paraId="4A61F609" w14:textId="77777777" w:rsidTr="00567CE4">
        <w:trPr>
          <w:trHeight w:val="300"/>
        </w:trPr>
        <w:tc>
          <w:tcPr>
            <w:tcW w:w="1304" w:type="dxa"/>
            <w:noWrap/>
            <w:hideMark/>
          </w:tcPr>
          <w:p w14:paraId="63356A49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K120006</w:t>
            </w:r>
          </w:p>
        </w:tc>
        <w:tc>
          <w:tcPr>
            <w:tcW w:w="3756" w:type="dxa"/>
            <w:noWrap/>
            <w:hideMark/>
          </w:tcPr>
          <w:p w14:paraId="133B6ABF" w14:textId="77777777" w:rsidR="00567CE4" w:rsidRPr="00567CE4" w:rsidRDefault="00567CE4" w:rsidP="00567CE4">
            <w:pPr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Kapitalni projekt: Uređenje i izgradnja javnih površina</w:t>
            </w:r>
          </w:p>
        </w:tc>
        <w:tc>
          <w:tcPr>
            <w:tcW w:w="1394" w:type="dxa"/>
            <w:noWrap/>
            <w:hideMark/>
          </w:tcPr>
          <w:p w14:paraId="697AD2B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45.000,00</w:t>
            </w:r>
          </w:p>
        </w:tc>
        <w:tc>
          <w:tcPr>
            <w:tcW w:w="1304" w:type="dxa"/>
            <w:noWrap/>
            <w:hideMark/>
          </w:tcPr>
          <w:p w14:paraId="27F197B6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304" w:type="dxa"/>
            <w:noWrap/>
            <w:hideMark/>
          </w:tcPr>
          <w:p w14:paraId="7A55D890" w14:textId="77777777" w:rsidR="00567CE4" w:rsidRPr="00567CE4" w:rsidRDefault="00567CE4" w:rsidP="00567CE4">
            <w:pPr>
              <w:jc w:val="right"/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67CE4">
              <w:rPr>
                <w:rFonts w:eastAsia="Times New Roman" w:cs="Calibri"/>
                <w:kern w:val="0"/>
                <w:sz w:val="22"/>
                <w:szCs w:val="22"/>
                <w:lang w:eastAsia="hr-HR"/>
                <w14:ligatures w14:val="none"/>
              </w:rPr>
              <w:t>0,00%</w:t>
            </w:r>
          </w:p>
        </w:tc>
      </w:tr>
    </w:tbl>
    <w:p w14:paraId="54398B5E" w14:textId="77777777" w:rsidR="00766058" w:rsidRDefault="00766058" w:rsidP="00C01A66">
      <w:pPr>
        <w:tabs>
          <w:tab w:val="left" w:pos="5520"/>
        </w:tabs>
        <w:rPr>
          <w:b/>
          <w:bCs/>
        </w:rPr>
      </w:pPr>
    </w:p>
    <w:p w14:paraId="63DF9881" w14:textId="77777777" w:rsidR="00EA363B" w:rsidRDefault="00EA363B" w:rsidP="00C01A66">
      <w:pPr>
        <w:tabs>
          <w:tab w:val="left" w:pos="5520"/>
        </w:tabs>
        <w:rPr>
          <w:b/>
          <w:bCs/>
        </w:rPr>
      </w:pPr>
    </w:p>
    <w:p w14:paraId="3A5B64B0" w14:textId="59D96B23" w:rsidR="00EA363B" w:rsidRDefault="00EA363B" w:rsidP="00EA363B">
      <w:pPr>
        <w:pStyle w:val="Odlomakpopisa"/>
        <w:numPr>
          <w:ilvl w:val="0"/>
          <w:numId w:val="1"/>
        </w:numPr>
        <w:tabs>
          <w:tab w:val="left" w:pos="5520"/>
        </w:tabs>
        <w:rPr>
          <w:b/>
          <w:bCs/>
        </w:rPr>
      </w:pPr>
      <w:r>
        <w:rPr>
          <w:b/>
          <w:bCs/>
        </w:rPr>
        <w:t xml:space="preserve">IZVJEŠTAJ O KORIŠTENJU PRORAČUNSKE ZALIHE ZA RAZDOBLJE 1.1.2025-30.6.2025 </w:t>
      </w:r>
    </w:p>
    <w:p w14:paraId="091AA4AB" w14:textId="77777777" w:rsidR="00EA363B" w:rsidRPr="00EA363B" w:rsidRDefault="00EA363B" w:rsidP="00EA363B">
      <w:pPr>
        <w:tabs>
          <w:tab w:val="left" w:pos="5520"/>
        </w:tabs>
        <w:rPr>
          <w:b/>
          <w:bCs/>
        </w:rPr>
      </w:pPr>
    </w:p>
    <w:p w14:paraId="479CB3FA" w14:textId="5326BEEF" w:rsidR="00EA363B" w:rsidRDefault="00EA363B" w:rsidP="00EA363B">
      <w:pPr>
        <w:pStyle w:val="StandardWeb"/>
        <w:spacing w:before="0" w:beforeAutospacing="0" w:after="135" w:afterAutospacing="0" w:line="360" w:lineRule="auto"/>
        <w:rPr>
          <w:rFonts w:asciiTheme="minorHAnsi" w:hAnsiTheme="minorHAnsi" w:cs="Open Sans"/>
        </w:rPr>
      </w:pPr>
      <w:r w:rsidRPr="00EA363B">
        <w:rPr>
          <w:rFonts w:asciiTheme="minorHAnsi" w:hAnsiTheme="minorHAnsi" w:cs="Open Sans"/>
        </w:rPr>
        <w:t>Sredstva proračunske zalihe koriste se za financiranje rashoda nastalih pri otklanjanju posljedica elementarnih nepogoda, epidemija, ekoloških i ostalih nepredvidivih nesreća odnosno izvanrednih događaja tijekom godine.</w:t>
      </w:r>
      <w:r w:rsidR="00104C8D">
        <w:rPr>
          <w:rFonts w:asciiTheme="minorHAnsi" w:hAnsiTheme="minorHAnsi" w:cs="Open Sans"/>
        </w:rPr>
        <w:t xml:space="preserve"> </w:t>
      </w:r>
      <w:r w:rsidRPr="00EA363B">
        <w:rPr>
          <w:rFonts w:asciiTheme="minorHAnsi" w:hAnsiTheme="minorHAnsi" w:cs="Open Sans"/>
        </w:rPr>
        <w:t>Sredstva proračunske zalihe  mogu iznositi najviše 0,50 posto planiranih općih prihoda proračuna tekuće godine bez primitaka.</w:t>
      </w:r>
      <w:r w:rsidR="00104C8D">
        <w:rPr>
          <w:rFonts w:asciiTheme="minorHAnsi" w:hAnsiTheme="minorHAnsi" w:cs="Open Sans"/>
        </w:rPr>
        <w:t xml:space="preserve"> </w:t>
      </w:r>
      <w:r w:rsidRPr="00EA363B">
        <w:rPr>
          <w:rFonts w:asciiTheme="minorHAnsi" w:hAnsiTheme="minorHAnsi" w:cs="Open Sans"/>
        </w:rPr>
        <w:t>Sredstva proračunske zalihe ne mogu se koristiti za pozajmljivanje.</w:t>
      </w:r>
    </w:p>
    <w:p w14:paraId="5E141526" w14:textId="1FCF6B80" w:rsidR="00104C8D" w:rsidRDefault="00104C8D" w:rsidP="00EA363B">
      <w:pPr>
        <w:pStyle w:val="StandardWeb"/>
        <w:spacing w:before="0" w:beforeAutospacing="0" w:after="135" w:afterAutospacing="0" w:line="360" w:lineRule="auto"/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 xml:space="preserve">Grad Ploče u izvještajnom razdoblju 1.1.2025-30.06.2025 nije koristio sredstva proračunske zalihe. </w:t>
      </w:r>
    </w:p>
    <w:p w14:paraId="1AC9E23B" w14:textId="342B399A" w:rsidR="004C1285" w:rsidRDefault="004C1285" w:rsidP="004C1285">
      <w:pPr>
        <w:pStyle w:val="StandardWeb"/>
        <w:numPr>
          <w:ilvl w:val="0"/>
          <w:numId w:val="1"/>
        </w:numPr>
        <w:spacing w:before="0" w:beforeAutospacing="0" w:after="135" w:afterAutospacing="0" w:line="360" w:lineRule="auto"/>
        <w:rPr>
          <w:rFonts w:asciiTheme="minorHAnsi" w:hAnsiTheme="minorHAnsi" w:cs="Open Sans"/>
          <w:b/>
          <w:bCs/>
        </w:rPr>
      </w:pPr>
      <w:r w:rsidRPr="004C1285">
        <w:rPr>
          <w:rFonts w:asciiTheme="minorHAnsi" w:hAnsiTheme="minorHAnsi" w:cs="Open Sans"/>
          <w:b/>
          <w:bCs/>
        </w:rPr>
        <w:t>IZVJEŠTAJ O ZADUŽIVANJU NA DOMAĆEM I STRANOM TRŽIŠTU NOVCA I KAPIATALA</w:t>
      </w:r>
    </w:p>
    <w:p w14:paraId="64EC77EA" w14:textId="33C66D5A" w:rsidR="004C1285" w:rsidRDefault="004C1285" w:rsidP="004C1285">
      <w:pPr>
        <w:pStyle w:val="StandardWeb"/>
        <w:spacing w:before="0" w:beforeAutospacing="0" w:after="135" w:afterAutospacing="0" w:line="360" w:lineRule="auto"/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 xml:space="preserve">Grad Ploče je na dan 28.7.2020.godine sklopio ESIF kredit za javnu rasvjetu sa Hrvatskom bankom za obnovu i razvitak (HBOR) </w:t>
      </w:r>
      <w:r w:rsidR="00AF3F53">
        <w:rPr>
          <w:rFonts w:asciiTheme="minorHAnsi" w:hAnsiTheme="minorHAnsi" w:cs="Open Sans"/>
        </w:rPr>
        <w:t xml:space="preserve">za realizaciju projekta „Energetska </w:t>
      </w:r>
      <w:r w:rsidR="00AF3F53">
        <w:rPr>
          <w:rFonts w:asciiTheme="minorHAnsi" w:hAnsiTheme="minorHAnsi" w:cs="Open Sans"/>
        </w:rPr>
        <w:lastRenderedPageBreak/>
        <w:t xml:space="preserve">obnova putem učinkovitosti sustava javne rasvjete Grada Ploča“ te su naknadno sklopljena tri dodatka ugovoru o kreditu kojim su se regulirala produljenja rokova korištenja kredita kao i njegov način otplate kredita. Na temelju toga, u izvještajnom razdoblju 1.1.2025.-30.06.2025 isplaćeno je 24 341,23 eura na ime kredita. </w:t>
      </w:r>
    </w:p>
    <w:p w14:paraId="50E9D869" w14:textId="4FF68BBD" w:rsidR="00AF3F53" w:rsidRDefault="00AF3F53" w:rsidP="00AF3F53">
      <w:pPr>
        <w:pStyle w:val="StandardWeb"/>
        <w:numPr>
          <w:ilvl w:val="0"/>
          <w:numId w:val="1"/>
        </w:numPr>
        <w:spacing w:before="0" w:beforeAutospacing="0" w:after="135" w:afterAutospacing="0" w:line="360" w:lineRule="auto"/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>IZVJEŠTAJ O DANIM JAMSTVIMA I PLAĆANJIMA PO PROTESTIRANIM JAMSTVIMA</w:t>
      </w:r>
    </w:p>
    <w:p w14:paraId="1722A6EF" w14:textId="6384BCDD" w:rsidR="00AF3F53" w:rsidRDefault="00AF3F53" w:rsidP="00AF3F53">
      <w:pPr>
        <w:pStyle w:val="StandardWeb"/>
        <w:spacing w:before="0" w:beforeAutospacing="0" w:after="135" w:afterAutospacing="0" w:line="360" w:lineRule="auto"/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>Dana jamstva u izvještajnom razdoblju:</w:t>
      </w:r>
    </w:p>
    <w:p w14:paraId="37444702" w14:textId="1AF59DE2" w:rsidR="00AF3F53" w:rsidRPr="004C1285" w:rsidRDefault="00AF3F53" w:rsidP="00AF3F53">
      <w:pPr>
        <w:pStyle w:val="StandardWeb"/>
        <w:spacing w:before="0" w:beforeAutospacing="0" w:after="135" w:afterAutospacing="0" w:line="360" w:lineRule="auto"/>
        <w:rPr>
          <w:rFonts w:asciiTheme="minorHAnsi" w:hAnsiTheme="minorHAnsi" w:cs="Open Sans"/>
        </w:rPr>
      </w:pPr>
      <w:r w:rsidRPr="00AF3F53">
        <w:rPr>
          <w:noProof/>
        </w:rPr>
        <w:drawing>
          <wp:inline distT="0" distB="0" distL="0" distR="0" wp14:anchorId="73921C55" wp14:editId="11776A96">
            <wp:extent cx="6274914" cy="4114800"/>
            <wp:effectExtent l="0" t="0" r="0" b="0"/>
            <wp:docPr id="8130405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25" cy="413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442CD" w14:textId="77777777" w:rsidR="00EA363B" w:rsidRPr="00EA363B" w:rsidRDefault="00EA363B" w:rsidP="00EA363B">
      <w:pPr>
        <w:tabs>
          <w:tab w:val="left" w:pos="5520"/>
        </w:tabs>
        <w:rPr>
          <w:b/>
          <w:bCs/>
        </w:rPr>
      </w:pPr>
    </w:p>
    <w:sectPr w:rsidR="00EA363B" w:rsidRPr="00EA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726E"/>
    <w:multiLevelType w:val="hybridMultilevel"/>
    <w:tmpl w:val="ECF2AC38"/>
    <w:lvl w:ilvl="0" w:tplc="E3608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8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70"/>
    <w:rsid w:val="000C2BB9"/>
    <w:rsid w:val="000E7845"/>
    <w:rsid w:val="00104C8D"/>
    <w:rsid w:val="00146B70"/>
    <w:rsid w:val="00282546"/>
    <w:rsid w:val="00392A19"/>
    <w:rsid w:val="003C37C9"/>
    <w:rsid w:val="0041162B"/>
    <w:rsid w:val="004327A4"/>
    <w:rsid w:val="0047425B"/>
    <w:rsid w:val="004C1285"/>
    <w:rsid w:val="004D31A9"/>
    <w:rsid w:val="00567CE4"/>
    <w:rsid w:val="005738EC"/>
    <w:rsid w:val="00594465"/>
    <w:rsid w:val="0066560E"/>
    <w:rsid w:val="006B4D6E"/>
    <w:rsid w:val="00715616"/>
    <w:rsid w:val="00766058"/>
    <w:rsid w:val="0078597E"/>
    <w:rsid w:val="0079750C"/>
    <w:rsid w:val="00861FBD"/>
    <w:rsid w:val="008E4D28"/>
    <w:rsid w:val="00A8731A"/>
    <w:rsid w:val="00AB597B"/>
    <w:rsid w:val="00AF3F53"/>
    <w:rsid w:val="00B76AC2"/>
    <w:rsid w:val="00BF457C"/>
    <w:rsid w:val="00C01A66"/>
    <w:rsid w:val="00C91342"/>
    <w:rsid w:val="00CD754E"/>
    <w:rsid w:val="00CE6CA6"/>
    <w:rsid w:val="00D302DC"/>
    <w:rsid w:val="00D83E82"/>
    <w:rsid w:val="00E57D51"/>
    <w:rsid w:val="00E718A7"/>
    <w:rsid w:val="00EA363B"/>
    <w:rsid w:val="00F1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DB1C"/>
  <w15:chartTrackingRefBased/>
  <w15:docId w15:val="{511C301A-FE2E-4CAD-9FEE-1DE3A139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4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6B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6B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6B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6B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6B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6B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6B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6B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6B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6B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6B7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8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C2BB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EA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932CA-B6D7-4067-984B-97C03650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Dženi Radaljac</dc:creator>
  <cp:keywords/>
  <dc:description/>
  <cp:lastModifiedBy>Nikolina Doboš</cp:lastModifiedBy>
  <cp:revision>2</cp:revision>
  <dcterms:created xsi:type="dcterms:W3CDTF">2025-09-30T08:12:00Z</dcterms:created>
  <dcterms:modified xsi:type="dcterms:W3CDTF">2025-09-30T08:12:00Z</dcterms:modified>
</cp:coreProperties>
</file>