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52C96" w14:textId="77777777" w:rsidR="000B480A" w:rsidRDefault="00000000">
      <w:pPr>
        <w:tabs>
          <w:tab w:val="left" w:pos="3686"/>
        </w:tabs>
        <w:ind w:right="5386"/>
        <w:jc w:val="both"/>
        <w:rPr>
          <w:sz w:val="24"/>
          <w:szCs w:val="24"/>
          <w:lang w:val="hr-HR"/>
        </w:rPr>
      </w:pPr>
      <w:r>
        <w:rPr>
          <w:noProof/>
          <w:sz w:val="24"/>
          <w:szCs w:val="24"/>
          <w:lang w:val="hr-HR"/>
        </w:rPr>
        <w:drawing>
          <wp:anchor distT="0" distB="0" distL="0" distR="0" simplePos="0" relativeHeight="2" behindDoc="1" locked="0" layoutInCell="0" allowOverlap="1" wp14:anchorId="2B0D7DBF" wp14:editId="3F9DC7A0">
            <wp:simplePos x="0" y="0"/>
            <wp:positionH relativeFrom="column">
              <wp:posOffset>1394460</wp:posOffset>
            </wp:positionH>
            <wp:positionV relativeFrom="paragraph">
              <wp:posOffset>-45085</wp:posOffset>
            </wp:positionV>
            <wp:extent cx="571500" cy="723900"/>
            <wp:effectExtent l="0" t="0" r="0" b="0"/>
            <wp:wrapNone/>
            <wp:docPr id="1"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grb1"/>
                    <pic:cNvPicPr>
                      <a:picLocks noChangeAspect="1" noChangeArrowheads="1"/>
                    </pic:cNvPicPr>
                  </pic:nvPicPr>
                  <pic:blipFill>
                    <a:blip r:embed="rId4"/>
                    <a:stretch>
                      <a:fillRect/>
                    </a:stretch>
                  </pic:blipFill>
                  <pic:spPr bwMode="auto">
                    <a:xfrm>
                      <a:off x="0" y="0"/>
                      <a:ext cx="571500" cy="723900"/>
                    </a:xfrm>
                    <a:prstGeom prst="rect">
                      <a:avLst/>
                    </a:prstGeom>
                  </pic:spPr>
                </pic:pic>
              </a:graphicData>
            </a:graphic>
          </wp:anchor>
        </w:drawing>
      </w:r>
    </w:p>
    <w:p w14:paraId="3DDC64A3" w14:textId="77777777" w:rsidR="000B480A" w:rsidRDefault="000B480A">
      <w:pPr>
        <w:tabs>
          <w:tab w:val="left" w:pos="3686"/>
        </w:tabs>
        <w:ind w:right="5386"/>
        <w:jc w:val="both"/>
        <w:rPr>
          <w:sz w:val="24"/>
          <w:szCs w:val="24"/>
          <w:lang w:val="hr-HR"/>
        </w:rPr>
      </w:pPr>
    </w:p>
    <w:p w14:paraId="4B0D9B81" w14:textId="77777777" w:rsidR="000B480A" w:rsidRDefault="000B480A">
      <w:pPr>
        <w:tabs>
          <w:tab w:val="left" w:pos="3686"/>
        </w:tabs>
        <w:ind w:right="5386"/>
        <w:jc w:val="both"/>
        <w:rPr>
          <w:sz w:val="24"/>
          <w:szCs w:val="24"/>
          <w:lang w:val="hr-HR"/>
        </w:rPr>
      </w:pPr>
    </w:p>
    <w:p w14:paraId="641378FB" w14:textId="77777777" w:rsidR="000B480A" w:rsidRDefault="000B480A">
      <w:pPr>
        <w:overflowPunct w:val="0"/>
        <w:textAlignment w:val="baseline"/>
        <w:rPr>
          <w:sz w:val="24"/>
          <w:szCs w:val="24"/>
          <w:lang w:val="hr-HR"/>
        </w:rPr>
      </w:pPr>
    </w:p>
    <w:p w14:paraId="5A151C35" w14:textId="77777777" w:rsidR="000B480A" w:rsidRDefault="00000000">
      <w:pPr>
        <w:pStyle w:val="Naslov1"/>
        <w:contextualSpacing/>
        <w:jc w:val="left"/>
        <w:rPr>
          <w:lang w:val="hr-HR"/>
        </w:rPr>
      </w:pPr>
      <w:r>
        <w:rPr>
          <w:lang w:val="hr-HR"/>
        </w:rPr>
        <w:t xml:space="preserve">                    REPUBLIKA  HRVATSKA</w:t>
      </w:r>
    </w:p>
    <w:p w14:paraId="76E81416" w14:textId="77777777" w:rsidR="000B480A" w:rsidRDefault="00000000">
      <w:pPr>
        <w:pStyle w:val="Naslov1"/>
        <w:contextualSpacing/>
        <w:jc w:val="left"/>
        <w:rPr>
          <w:lang w:val="hr-HR"/>
        </w:rPr>
      </w:pPr>
      <w:r>
        <w:rPr>
          <w:b w:val="0"/>
          <w:lang w:val="hr-HR"/>
        </w:rPr>
        <w:t xml:space="preserve">     DUBROVAČKO-NERETVANSKA ŽUPANIJA</w:t>
      </w:r>
    </w:p>
    <w:p w14:paraId="40579357" w14:textId="77777777" w:rsidR="000B480A" w:rsidRDefault="00000000">
      <w:pPr>
        <w:pStyle w:val="Naslov1"/>
        <w:contextualSpacing/>
        <w:jc w:val="left"/>
        <w:rPr>
          <w:b w:val="0"/>
          <w:lang w:val="hr-HR"/>
        </w:rPr>
      </w:pPr>
      <w:r>
        <w:rPr>
          <w:b w:val="0"/>
          <w:lang w:val="hr-HR"/>
        </w:rPr>
        <w:t xml:space="preserve">                               GRAD PLOČE</w:t>
      </w:r>
    </w:p>
    <w:p w14:paraId="7ABC5A7A" w14:textId="77777777" w:rsidR="000B480A" w:rsidRDefault="00000000">
      <w:pPr>
        <w:pStyle w:val="Naslov1"/>
        <w:contextualSpacing/>
        <w:jc w:val="left"/>
        <w:rPr>
          <w:b w:val="0"/>
          <w:lang w:val="hr-HR"/>
        </w:rPr>
      </w:pPr>
      <w:r>
        <w:rPr>
          <w:b w:val="0"/>
          <w:lang w:val="hr-HR"/>
        </w:rPr>
        <w:t xml:space="preserve">               Upravni odjel za gospodarski razvoj</w:t>
      </w:r>
    </w:p>
    <w:p w14:paraId="26E7ED69" w14:textId="77777777" w:rsidR="000B480A" w:rsidRDefault="000B480A">
      <w:pPr>
        <w:ind w:right="4115"/>
        <w:jc w:val="center"/>
        <w:rPr>
          <w:b/>
          <w:sz w:val="24"/>
          <w:szCs w:val="24"/>
          <w:lang w:val="hr-HR"/>
        </w:rPr>
      </w:pPr>
    </w:p>
    <w:p w14:paraId="2A8BAEFC" w14:textId="77777777" w:rsidR="000B480A" w:rsidRDefault="00000000">
      <w:pPr>
        <w:jc w:val="both"/>
        <w:rPr>
          <w:sz w:val="24"/>
          <w:szCs w:val="24"/>
          <w:lang w:val="hr-HR"/>
        </w:rPr>
      </w:pPr>
      <w:r>
        <w:rPr>
          <w:sz w:val="24"/>
          <w:szCs w:val="24"/>
          <w:lang w:val="hr-HR"/>
        </w:rPr>
        <w:t>KLASA: 940-01/23-01/001</w:t>
      </w:r>
    </w:p>
    <w:p w14:paraId="4BC4CB38" w14:textId="77777777" w:rsidR="000B480A" w:rsidRDefault="00000000">
      <w:pPr>
        <w:jc w:val="both"/>
        <w:rPr>
          <w:sz w:val="24"/>
          <w:szCs w:val="24"/>
          <w:lang w:val="hr-HR"/>
        </w:rPr>
      </w:pPr>
      <w:r>
        <w:rPr>
          <w:sz w:val="24"/>
          <w:szCs w:val="24"/>
          <w:lang w:val="hr-HR"/>
        </w:rPr>
        <w:t>URBROJ: 2117-12-4-22-1</w:t>
      </w:r>
    </w:p>
    <w:p w14:paraId="57B4FCBB" w14:textId="77777777" w:rsidR="000B480A" w:rsidRDefault="000B480A">
      <w:pPr>
        <w:jc w:val="both"/>
        <w:rPr>
          <w:sz w:val="24"/>
          <w:szCs w:val="24"/>
          <w:lang w:val="hr-HR"/>
        </w:rPr>
      </w:pPr>
    </w:p>
    <w:p w14:paraId="55508685" w14:textId="44B9543C" w:rsidR="000B480A" w:rsidRDefault="00000000">
      <w:pPr>
        <w:jc w:val="both"/>
      </w:pPr>
      <w:r>
        <w:rPr>
          <w:sz w:val="24"/>
          <w:szCs w:val="24"/>
          <w:lang w:val="hr-HR"/>
        </w:rPr>
        <w:t xml:space="preserve">Ploče, </w:t>
      </w:r>
      <w:r w:rsidR="00D735D2">
        <w:rPr>
          <w:sz w:val="24"/>
          <w:szCs w:val="24"/>
          <w:lang w:val="hr-HR"/>
        </w:rPr>
        <w:t>19</w:t>
      </w:r>
      <w:r>
        <w:rPr>
          <w:sz w:val="24"/>
          <w:szCs w:val="24"/>
          <w:lang w:val="hr-HR"/>
        </w:rPr>
        <w:t xml:space="preserve">. </w:t>
      </w:r>
      <w:r w:rsidR="00D735D2">
        <w:rPr>
          <w:sz w:val="24"/>
          <w:szCs w:val="24"/>
          <w:lang w:val="hr-HR"/>
        </w:rPr>
        <w:t>svibnja</w:t>
      </w:r>
      <w:r>
        <w:rPr>
          <w:sz w:val="24"/>
          <w:szCs w:val="24"/>
          <w:lang w:val="hr-HR"/>
        </w:rPr>
        <w:t xml:space="preserve"> 2023. godine</w:t>
      </w:r>
    </w:p>
    <w:p w14:paraId="0D458E70" w14:textId="77777777" w:rsidR="000B480A" w:rsidRDefault="000B480A">
      <w:pPr>
        <w:jc w:val="both"/>
        <w:rPr>
          <w:sz w:val="24"/>
          <w:szCs w:val="24"/>
          <w:lang w:val="hr-HR"/>
        </w:rPr>
      </w:pPr>
    </w:p>
    <w:p w14:paraId="4076044D" w14:textId="1C687503" w:rsidR="000B480A" w:rsidRDefault="00000000">
      <w:pPr>
        <w:ind w:firstLine="720"/>
        <w:jc w:val="both"/>
      </w:pPr>
      <w:r>
        <w:rPr>
          <w:sz w:val="24"/>
          <w:szCs w:val="24"/>
          <w:lang w:val="hr-HR"/>
        </w:rPr>
        <w:t xml:space="preserve">Na temelju članka 11. Zakona o pravu na pristup informacijama (Narodne novine, broj 25/13., 85/15. i 69/22.) Grad Ploče, dana </w:t>
      </w:r>
      <w:r w:rsidR="00D735D2">
        <w:rPr>
          <w:sz w:val="24"/>
          <w:szCs w:val="24"/>
          <w:lang w:val="hr-HR"/>
        </w:rPr>
        <w:t>19</w:t>
      </w:r>
      <w:r>
        <w:rPr>
          <w:sz w:val="24"/>
          <w:szCs w:val="24"/>
          <w:lang w:val="hr-HR"/>
        </w:rPr>
        <w:t xml:space="preserve">. </w:t>
      </w:r>
      <w:r w:rsidR="00D735D2">
        <w:rPr>
          <w:sz w:val="24"/>
          <w:szCs w:val="24"/>
          <w:lang w:val="hr-HR"/>
        </w:rPr>
        <w:t>svib</w:t>
      </w:r>
      <w:r>
        <w:rPr>
          <w:sz w:val="24"/>
          <w:szCs w:val="24"/>
          <w:lang w:val="hr-HR"/>
        </w:rPr>
        <w:t xml:space="preserve">nja 2023. godine objavljuje </w:t>
      </w:r>
    </w:p>
    <w:p w14:paraId="0A8FDEDC" w14:textId="77777777" w:rsidR="000B480A" w:rsidRDefault="000B480A">
      <w:pPr>
        <w:ind w:firstLine="720"/>
        <w:jc w:val="both"/>
        <w:rPr>
          <w:sz w:val="24"/>
          <w:szCs w:val="24"/>
          <w:lang w:val="hr-HR"/>
        </w:rPr>
      </w:pPr>
    </w:p>
    <w:p w14:paraId="4C654C14" w14:textId="77777777" w:rsidR="000B480A" w:rsidRDefault="000B480A">
      <w:pPr>
        <w:jc w:val="both"/>
        <w:rPr>
          <w:sz w:val="24"/>
          <w:szCs w:val="24"/>
          <w:lang w:val="hr-HR"/>
        </w:rPr>
      </w:pPr>
    </w:p>
    <w:p w14:paraId="652470E8" w14:textId="77777777" w:rsidR="000B480A" w:rsidRDefault="00000000">
      <w:pPr>
        <w:jc w:val="center"/>
      </w:pPr>
      <w:r>
        <w:rPr>
          <w:sz w:val="24"/>
          <w:szCs w:val="24"/>
          <w:lang w:val="hr-HR"/>
        </w:rPr>
        <w:t>SAVJETOVANJE SA ZAINTERESIRANOM JAVNOŠĆU</w:t>
      </w:r>
    </w:p>
    <w:p w14:paraId="420C65B9" w14:textId="77777777" w:rsidR="000B480A" w:rsidRDefault="00000000">
      <w:pPr>
        <w:jc w:val="center"/>
      </w:pPr>
      <w:r>
        <w:rPr>
          <w:sz w:val="24"/>
          <w:szCs w:val="24"/>
          <w:lang w:val="hr-HR"/>
        </w:rPr>
        <w:t>Nacrt prijedloga Odluke o uvjetima, kriterijima i postupku za sufinanciranje obnove fasada višestambenih zgrada na području grada Ploča</w:t>
      </w:r>
    </w:p>
    <w:p w14:paraId="70A74431" w14:textId="77777777" w:rsidR="000B480A" w:rsidRDefault="000B480A">
      <w:pPr>
        <w:jc w:val="center"/>
        <w:rPr>
          <w:sz w:val="24"/>
          <w:szCs w:val="24"/>
          <w:lang w:val="hr-HR"/>
        </w:rPr>
      </w:pPr>
    </w:p>
    <w:p w14:paraId="5BF011C5" w14:textId="6B7445C7" w:rsidR="000B480A" w:rsidRDefault="00000000">
      <w:pPr>
        <w:jc w:val="center"/>
      </w:pPr>
      <w:r>
        <w:rPr>
          <w:sz w:val="24"/>
          <w:szCs w:val="24"/>
          <w:lang w:val="hr-HR"/>
        </w:rPr>
        <w:t xml:space="preserve">Savjetovanje traje </w:t>
      </w:r>
      <w:r w:rsidRPr="00041928">
        <w:rPr>
          <w:sz w:val="24"/>
          <w:szCs w:val="24"/>
          <w:lang w:val="hr-HR"/>
        </w:rPr>
        <w:t xml:space="preserve">do </w:t>
      </w:r>
      <w:r w:rsidR="00041928" w:rsidRPr="00041928">
        <w:rPr>
          <w:sz w:val="24"/>
          <w:szCs w:val="24"/>
          <w:lang w:val="hr-HR"/>
        </w:rPr>
        <w:t>19</w:t>
      </w:r>
      <w:r w:rsidR="00D735D2" w:rsidRPr="00041928">
        <w:rPr>
          <w:sz w:val="24"/>
          <w:szCs w:val="24"/>
          <w:lang w:val="hr-HR"/>
        </w:rPr>
        <w:t>. lipnja</w:t>
      </w:r>
      <w:r>
        <w:rPr>
          <w:sz w:val="24"/>
          <w:szCs w:val="24"/>
          <w:lang w:val="hr-HR"/>
        </w:rPr>
        <w:t xml:space="preserve"> 2023. godine</w:t>
      </w:r>
    </w:p>
    <w:p w14:paraId="23E6AA14" w14:textId="77777777" w:rsidR="000B480A" w:rsidRDefault="000B480A">
      <w:pPr>
        <w:jc w:val="both"/>
        <w:rPr>
          <w:sz w:val="24"/>
          <w:szCs w:val="24"/>
          <w:lang w:val="hr-HR"/>
        </w:rPr>
      </w:pPr>
    </w:p>
    <w:p w14:paraId="6317903D" w14:textId="77777777" w:rsidR="000B480A" w:rsidRDefault="00000000">
      <w:pPr>
        <w:jc w:val="both"/>
        <w:rPr>
          <w:sz w:val="24"/>
          <w:szCs w:val="24"/>
          <w:lang w:val="hr-HR"/>
        </w:rPr>
      </w:pPr>
      <w:r>
        <w:rPr>
          <w:sz w:val="24"/>
          <w:szCs w:val="24"/>
          <w:lang w:val="hr-HR"/>
        </w:rPr>
        <w:tab/>
      </w:r>
    </w:p>
    <w:p w14:paraId="1A055F3C" w14:textId="77777777" w:rsidR="000B480A" w:rsidRDefault="00000000">
      <w:pPr>
        <w:jc w:val="both"/>
        <w:rPr>
          <w:sz w:val="24"/>
          <w:szCs w:val="24"/>
          <w:lang w:val="hr-HR"/>
        </w:rPr>
      </w:pPr>
      <w:r>
        <w:rPr>
          <w:sz w:val="24"/>
          <w:szCs w:val="24"/>
          <w:lang w:val="hr-HR"/>
        </w:rPr>
        <w:tab/>
        <w:t>Cilj provođenja savjetovanja sa zainteresiranom javnošću je upoznavanje javnosti s Odlukom o uvjetima, kriterijima i postupku za sufinanciranje obnove fasada višestambenih zgrada na području grada Ploča (u daljnjem tekstu: Odluka), dobivanje mišljenja i prijedloga te prihvaćanje isključivo zakonitih i stručno utemeljenih mišljenja, primjedbi i prijedloga.</w:t>
      </w:r>
    </w:p>
    <w:p w14:paraId="5B2349ED" w14:textId="77777777" w:rsidR="000B480A" w:rsidRDefault="000B480A">
      <w:pPr>
        <w:jc w:val="both"/>
        <w:rPr>
          <w:sz w:val="24"/>
          <w:szCs w:val="24"/>
          <w:lang w:val="hr-HR"/>
        </w:rPr>
      </w:pPr>
    </w:p>
    <w:p w14:paraId="73D7EDB9" w14:textId="77777777" w:rsidR="000B480A" w:rsidRDefault="00000000">
      <w:pPr>
        <w:ind w:firstLine="708"/>
        <w:jc w:val="both"/>
        <w:rPr>
          <w:sz w:val="24"/>
          <w:szCs w:val="24"/>
        </w:rPr>
      </w:pPr>
      <w:r>
        <w:rPr>
          <w:sz w:val="24"/>
          <w:szCs w:val="24"/>
        </w:rPr>
        <w:t xml:space="preserve">Predloženim nacrtom Odluke </w:t>
      </w:r>
      <w:r>
        <w:rPr>
          <w:bCs/>
          <w:sz w:val="24"/>
          <w:szCs w:val="24"/>
        </w:rPr>
        <w:t xml:space="preserve">se utvrđuju uvjeti, kriteriji i postupak prema kojima će Grad Ploče sufinancirati provedbu Programa obnove fasada višestambenih zgrada na području grada Ploča. Cilj Programa je sufinanciranje obnove fasada na kojima su vidljiva oštećenja i tragovi propadanja, a sve radi poticanja očuvanja vizualnog identiteta grada i povećanje sigurnosti građana. </w:t>
      </w:r>
    </w:p>
    <w:p w14:paraId="3DC7D03D" w14:textId="77777777" w:rsidR="000B480A" w:rsidRDefault="000B480A">
      <w:pPr>
        <w:ind w:firstLine="708"/>
        <w:jc w:val="both"/>
        <w:rPr>
          <w:sz w:val="24"/>
          <w:szCs w:val="24"/>
        </w:rPr>
      </w:pPr>
    </w:p>
    <w:p w14:paraId="358C7BB8" w14:textId="77777777" w:rsidR="000B480A" w:rsidRDefault="00000000">
      <w:pPr>
        <w:ind w:firstLine="708"/>
        <w:jc w:val="both"/>
        <w:rPr>
          <w:sz w:val="24"/>
          <w:szCs w:val="24"/>
        </w:rPr>
      </w:pPr>
      <w:r>
        <w:rPr>
          <w:bCs/>
          <w:sz w:val="24"/>
          <w:szCs w:val="24"/>
          <w:lang w:val="hr-HR" w:eastAsia="hr-HR"/>
        </w:rPr>
        <w:t>Odlukom se propisuje način sufinanciranja, zone prioriteta te opravdani troškovi ulaganja. Odlukom bi se uredio novi način sufinanciranja obnove fasada višestambenih zgrada po prioritetima što bi rezultiralo brojnim novouređenim fasadama zgrada čime bi se postigao pozitivan učinak na ambijent i kvalitetu prostora i povećala sigurnost građana.</w:t>
      </w:r>
    </w:p>
    <w:p w14:paraId="6973073A" w14:textId="77777777" w:rsidR="000B480A" w:rsidRDefault="000B480A">
      <w:pPr>
        <w:ind w:firstLine="708"/>
        <w:jc w:val="both"/>
        <w:rPr>
          <w:sz w:val="24"/>
          <w:szCs w:val="24"/>
        </w:rPr>
      </w:pPr>
    </w:p>
    <w:p w14:paraId="7CE91D8C" w14:textId="3FFFE78D" w:rsidR="000B480A" w:rsidRDefault="00000000">
      <w:pPr>
        <w:jc w:val="both"/>
        <w:rPr>
          <w:sz w:val="24"/>
          <w:szCs w:val="24"/>
          <w:lang w:val="hr-HR"/>
        </w:rPr>
      </w:pPr>
      <w:r>
        <w:rPr>
          <w:sz w:val="24"/>
          <w:szCs w:val="24"/>
          <w:lang w:val="hr-HR"/>
        </w:rPr>
        <w:tab/>
        <w:t xml:space="preserve">Pozivamo predstavnike zainteresirane javnosti da najkasnije do </w:t>
      </w:r>
      <w:r w:rsidR="00041928">
        <w:rPr>
          <w:sz w:val="24"/>
          <w:szCs w:val="24"/>
          <w:lang w:val="hr-HR"/>
        </w:rPr>
        <w:t>19</w:t>
      </w:r>
      <w:r>
        <w:rPr>
          <w:sz w:val="24"/>
          <w:szCs w:val="24"/>
          <w:lang w:val="hr-HR"/>
        </w:rPr>
        <w:t xml:space="preserve">. </w:t>
      </w:r>
      <w:r w:rsidR="00D735D2">
        <w:rPr>
          <w:sz w:val="24"/>
          <w:szCs w:val="24"/>
          <w:lang w:val="hr-HR"/>
        </w:rPr>
        <w:t>lipnja</w:t>
      </w:r>
      <w:r>
        <w:rPr>
          <w:sz w:val="24"/>
          <w:szCs w:val="24"/>
          <w:lang w:val="hr-HR"/>
        </w:rPr>
        <w:t xml:space="preserve"> 2023. godine dostave svoja mišljenja i prijedloge na Nacrt prijedloga Odluke, s obrazloženjem, u pisanom obliku na adresu elektroničke pošte: </w:t>
      </w:r>
      <w:hyperlink r:id="rId5">
        <w:r>
          <w:rPr>
            <w:rStyle w:val="Hiperveza"/>
            <w:sz w:val="24"/>
            <w:szCs w:val="24"/>
            <w:lang w:val="hr-HR"/>
          </w:rPr>
          <w:t>esavjetovanje@ploce.hr</w:t>
        </w:r>
      </w:hyperlink>
      <w:r>
        <w:rPr>
          <w:sz w:val="24"/>
          <w:szCs w:val="24"/>
          <w:lang w:val="hr-HR"/>
        </w:rPr>
        <w:t xml:space="preserve"> </w:t>
      </w:r>
      <w:r>
        <w:rPr>
          <w:rStyle w:val="Hiperveza"/>
          <w:color w:val="auto"/>
          <w:sz w:val="24"/>
          <w:szCs w:val="24"/>
          <w:u w:val="none"/>
          <w:lang w:val="hr-HR"/>
        </w:rPr>
        <w:t>ili putem pošte,</w:t>
      </w:r>
      <w:r>
        <w:rPr>
          <w:sz w:val="24"/>
          <w:szCs w:val="24"/>
          <w:lang w:val="hr-HR"/>
        </w:rPr>
        <w:t xml:space="preserve"> odnosno osobno predajom u pisarnicu Grada Ploča na adresu, Trg kralja Tomislava 23, 20340 Ploče. </w:t>
      </w:r>
    </w:p>
    <w:p w14:paraId="161F9021" w14:textId="77777777" w:rsidR="000B480A" w:rsidRDefault="000B480A">
      <w:pPr>
        <w:jc w:val="both"/>
        <w:rPr>
          <w:sz w:val="24"/>
          <w:szCs w:val="24"/>
          <w:lang w:val="hr-HR"/>
        </w:rPr>
      </w:pPr>
    </w:p>
    <w:p w14:paraId="53E8F6A9" w14:textId="77777777" w:rsidR="000B480A" w:rsidRDefault="00000000">
      <w:pPr>
        <w:jc w:val="both"/>
        <w:rPr>
          <w:sz w:val="24"/>
          <w:szCs w:val="24"/>
          <w:lang w:val="hr-HR"/>
        </w:rPr>
      </w:pPr>
      <w:r>
        <w:rPr>
          <w:sz w:val="24"/>
          <w:szCs w:val="24"/>
          <w:lang w:val="hr-HR"/>
        </w:rPr>
        <w:lastRenderedPageBreak/>
        <w:tab/>
        <w:t xml:space="preserve">Mišljenja i prijedlozi na Nacrt prijedloga Odluke dostavljaju se na </w:t>
      </w:r>
      <w:r>
        <w:rPr>
          <w:b/>
          <w:bCs/>
          <w:sz w:val="24"/>
          <w:szCs w:val="24"/>
          <w:u w:val="single"/>
          <w:lang w:val="hr-HR"/>
        </w:rPr>
        <w:t>OBRASCU sudjelovanja u savjetovanju s javnošću</w:t>
      </w:r>
      <w:r>
        <w:rPr>
          <w:sz w:val="24"/>
          <w:szCs w:val="24"/>
          <w:lang w:val="hr-HR"/>
        </w:rPr>
        <w:t xml:space="preserve"> kojeg možete preuzeti na službenim mrežnim stranicama Grada Ploča, </w:t>
      </w:r>
      <w:hyperlink r:id="rId6">
        <w:r>
          <w:rPr>
            <w:rStyle w:val="Hiperveza"/>
            <w:sz w:val="24"/>
            <w:szCs w:val="24"/>
            <w:lang w:val="hr-HR"/>
          </w:rPr>
          <w:t>www.ploce.hr</w:t>
        </w:r>
      </w:hyperlink>
      <w:r>
        <w:rPr>
          <w:sz w:val="24"/>
          <w:szCs w:val="24"/>
          <w:lang w:val="hr-HR"/>
        </w:rPr>
        <w:t xml:space="preserve"> pod Savjetovanje s javnošću.</w:t>
      </w:r>
    </w:p>
    <w:p w14:paraId="2B4BA5D6" w14:textId="77777777" w:rsidR="000B480A" w:rsidRDefault="00000000">
      <w:pPr>
        <w:jc w:val="both"/>
        <w:rPr>
          <w:sz w:val="24"/>
          <w:szCs w:val="24"/>
          <w:lang w:val="hr-HR"/>
        </w:rPr>
      </w:pPr>
      <w:r>
        <w:rPr>
          <w:sz w:val="24"/>
          <w:szCs w:val="24"/>
          <w:lang w:val="hr-HR"/>
        </w:rPr>
        <w:tab/>
      </w:r>
    </w:p>
    <w:p w14:paraId="1025C090" w14:textId="77777777" w:rsidR="000B480A" w:rsidRDefault="00000000">
      <w:pPr>
        <w:ind w:firstLine="720"/>
        <w:jc w:val="both"/>
        <w:rPr>
          <w:sz w:val="24"/>
          <w:szCs w:val="24"/>
          <w:lang w:val="hr-HR"/>
        </w:rPr>
      </w:pPr>
      <w:r>
        <w:rPr>
          <w:sz w:val="24"/>
          <w:szCs w:val="24"/>
          <w:lang w:val="hr-HR"/>
        </w:rPr>
        <w:t>Mišljenja i prijedlozi moraju sadržavati adresu podnositelja i biti čitko napisani, uz jasno navođenje dijela Nacrta prijedloga Odluke na koje se odnose te biti dostavljeni u navedenom roku.</w:t>
      </w:r>
    </w:p>
    <w:p w14:paraId="1359022C" w14:textId="77777777" w:rsidR="000B480A" w:rsidRDefault="00000000">
      <w:pPr>
        <w:ind w:firstLine="720"/>
        <w:jc w:val="both"/>
        <w:rPr>
          <w:sz w:val="24"/>
          <w:szCs w:val="24"/>
          <w:lang w:val="hr-HR"/>
        </w:rPr>
      </w:pPr>
      <w:r>
        <w:rPr>
          <w:sz w:val="24"/>
          <w:szCs w:val="24"/>
          <w:lang w:val="hr-HR"/>
        </w:rPr>
        <w:t>Na sudjelovanje u otvorenom internetskom savjetovanju pozivaju se svi građani, a cilj savjetovanja je dobivanje informacija od zainteresirane javnosti u svezi predloženih rješenja.</w:t>
      </w:r>
    </w:p>
    <w:p w14:paraId="58B50BC1" w14:textId="77777777" w:rsidR="000B480A" w:rsidRDefault="00000000">
      <w:pPr>
        <w:ind w:firstLine="720"/>
        <w:jc w:val="both"/>
        <w:rPr>
          <w:sz w:val="24"/>
          <w:szCs w:val="24"/>
          <w:lang w:val="hr-HR"/>
        </w:rPr>
      </w:pPr>
      <w:r>
        <w:rPr>
          <w:sz w:val="24"/>
          <w:szCs w:val="24"/>
          <w:lang w:val="hr-HR"/>
        </w:rPr>
        <w:t xml:space="preserve">Po završenom savjetovanju izradit će se </w:t>
      </w:r>
      <w:r>
        <w:rPr>
          <w:sz w:val="24"/>
          <w:szCs w:val="24"/>
          <w:u w:val="single"/>
          <w:lang w:val="hr-HR"/>
        </w:rPr>
        <w:t>Izvješće o savjetovanju s javnošću</w:t>
      </w:r>
      <w:r>
        <w:rPr>
          <w:sz w:val="24"/>
          <w:szCs w:val="24"/>
          <w:lang w:val="hr-HR"/>
        </w:rPr>
        <w:t xml:space="preserve"> te će se konačni prijedlog Odluke dostaviti Gradskom vijeću na raspravu i usvajanje.</w:t>
      </w:r>
    </w:p>
    <w:p w14:paraId="3490C6AD" w14:textId="77777777" w:rsidR="000B480A" w:rsidRDefault="000B480A">
      <w:pPr>
        <w:jc w:val="both"/>
        <w:rPr>
          <w:sz w:val="24"/>
          <w:szCs w:val="24"/>
          <w:lang w:val="hr-HR"/>
        </w:rPr>
      </w:pPr>
    </w:p>
    <w:p w14:paraId="3122B357" w14:textId="77777777" w:rsidR="000B480A" w:rsidRDefault="000B480A">
      <w:pPr>
        <w:jc w:val="both"/>
        <w:rPr>
          <w:sz w:val="24"/>
          <w:szCs w:val="24"/>
          <w:lang w:val="hr-HR"/>
        </w:rPr>
      </w:pPr>
    </w:p>
    <w:p w14:paraId="1B46D7F1" w14:textId="77777777" w:rsidR="000B480A" w:rsidRDefault="00000000">
      <w:pPr>
        <w:ind w:left="5040"/>
        <w:jc w:val="center"/>
        <w:rPr>
          <w:sz w:val="24"/>
          <w:szCs w:val="24"/>
        </w:rPr>
      </w:pPr>
      <w:r>
        <w:rPr>
          <w:sz w:val="24"/>
          <w:szCs w:val="24"/>
        </w:rPr>
        <w:t>Službenik ovlašten za privremeno obavljanje poslova pročelnika</w:t>
      </w:r>
    </w:p>
    <w:p w14:paraId="07D6E908" w14:textId="77777777" w:rsidR="000B480A" w:rsidRDefault="00000000">
      <w:pPr>
        <w:ind w:left="5040"/>
        <w:jc w:val="center"/>
        <w:rPr>
          <w:sz w:val="24"/>
          <w:szCs w:val="24"/>
          <w:lang w:val="hr-HR"/>
        </w:rPr>
      </w:pPr>
      <w:r>
        <w:rPr>
          <w:sz w:val="24"/>
          <w:szCs w:val="24"/>
          <w:lang w:val="hr-HR"/>
        </w:rPr>
        <w:t>Damir Živković</w:t>
      </w:r>
    </w:p>
    <w:p w14:paraId="5AB69F63" w14:textId="77777777" w:rsidR="000B480A" w:rsidRDefault="000B480A">
      <w:pPr>
        <w:jc w:val="both"/>
        <w:rPr>
          <w:sz w:val="24"/>
          <w:szCs w:val="24"/>
          <w:lang w:val="hr-HR"/>
        </w:rPr>
      </w:pPr>
    </w:p>
    <w:sectPr w:rsidR="000B480A">
      <w:pgSz w:w="12240" w:h="15840"/>
      <w:pgMar w:top="1440" w:right="1440" w:bottom="993"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0A"/>
    <w:rsid w:val="00041928"/>
    <w:rsid w:val="000B480A"/>
    <w:rsid w:val="00D735D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273A"/>
  <w15:docId w15:val="{1F76041D-211A-4AD5-BECD-633B573B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388"/>
    <w:rPr>
      <w:rFonts w:ascii="Times New Roman" w:eastAsia="Times New Roman" w:hAnsi="Times New Roman" w:cs="Times New Roman"/>
      <w:sz w:val="20"/>
      <w:szCs w:val="20"/>
      <w:lang w:val="en-GB"/>
    </w:rPr>
  </w:style>
  <w:style w:type="paragraph" w:styleId="Naslov1">
    <w:name w:val="heading 1"/>
    <w:basedOn w:val="Normal"/>
    <w:link w:val="Naslov1Char"/>
    <w:qFormat/>
    <w:rsid w:val="00D612E3"/>
    <w:pPr>
      <w:keepNext/>
      <w:jc w:val="center"/>
      <w:outlineLvl w:val="0"/>
    </w:pPr>
    <w:rPr>
      <w:b/>
      <w:bCs/>
      <w:kern w:val="2"/>
      <w:sz w:val="24"/>
      <w:szCs w:val="24"/>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qFormat/>
    <w:rsid w:val="00D612E3"/>
    <w:rPr>
      <w:rFonts w:ascii="Times New Roman" w:eastAsia="Times New Roman" w:hAnsi="Times New Roman" w:cs="Times New Roman"/>
      <w:b/>
      <w:bCs/>
      <w:kern w:val="2"/>
      <w:sz w:val="24"/>
      <w:szCs w:val="24"/>
      <w:lang w:val="x-none" w:eastAsia="x-none"/>
    </w:rPr>
  </w:style>
  <w:style w:type="character" w:styleId="Hiperveza">
    <w:name w:val="Hyperlink"/>
    <w:basedOn w:val="Zadanifontodlomka"/>
    <w:uiPriority w:val="99"/>
    <w:unhideWhenUsed/>
    <w:rsid w:val="002D65C3"/>
    <w:rPr>
      <w:color w:val="0000FF" w:themeColor="hyperlink"/>
      <w:u w:val="single"/>
    </w:rPr>
  </w:style>
  <w:style w:type="character" w:styleId="Nerijeenospominjanje">
    <w:name w:val="Unresolved Mention"/>
    <w:basedOn w:val="Zadanifontodlomka"/>
    <w:uiPriority w:val="99"/>
    <w:semiHidden/>
    <w:unhideWhenUsed/>
    <w:qFormat/>
    <w:rsid w:val="002D65C3"/>
    <w:rPr>
      <w:color w:val="605E5C"/>
      <w:shd w:val="clear" w:color="auto" w:fill="E1DFDD"/>
    </w:rPr>
  </w:style>
  <w:style w:type="paragraph" w:customStyle="1" w:styleId="Stilnaslova">
    <w:name w:val="Stil naslova"/>
    <w:basedOn w:val="Normal"/>
    <w:next w:val="Tijeloteksta"/>
    <w:qFormat/>
    <w:pPr>
      <w:keepNext/>
      <w:spacing w:before="240" w:after="120"/>
    </w:pPr>
    <w:rPr>
      <w:rFonts w:ascii="Liberation Sans" w:eastAsia="Microsoft YaHei" w:hAnsi="Liberation Sans" w:cs="Lucida Sans"/>
      <w:sz w:val="28"/>
      <w:szCs w:val="28"/>
    </w:rPr>
  </w:style>
  <w:style w:type="paragraph" w:styleId="Tijeloteksta">
    <w:name w:val="Body Text"/>
    <w:basedOn w:val="Normal"/>
    <w:pPr>
      <w:spacing w:after="140" w:line="276" w:lineRule="auto"/>
    </w:pPr>
  </w:style>
  <w:style w:type="paragraph" w:styleId="Popis">
    <w:name w:val="List"/>
    <w:basedOn w:val="Tijeloteksta"/>
    <w:rPr>
      <w:rFonts w:cs="Lucida Sans"/>
    </w:rPr>
  </w:style>
  <w:style w:type="paragraph" w:styleId="Opisslike">
    <w:name w:val="caption"/>
    <w:basedOn w:val="Normal"/>
    <w:qFormat/>
    <w:pPr>
      <w:suppressLineNumbers/>
      <w:spacing w:before="120" w:after="120"/>
    </w:pPr>
    <w:rPr>
      <w:rFonts w:cs="Lucida Sans"/>
      <w:i/>
      <w:iCs/>
      <w:sz w:val="24"/>
      <w:szCs w:val="24"/>
    </w:rPr>
  </w:style>
  <w:style w:type="paragraph" w:customStyle="1" w:styleId="Indeks">
    <w:name w:val="Indeks"/>
    <w:basedOn w:val="Normal"/>
    <w:qFormat/>
    <w:pPr>
      <w:suppressLineNumbers/>
    </w:pPr>
    <w:rPr>
      <w:rFonts w:cs="Lucida Sans"/>
    </w:rPr>
  </w:style>
  <w:style w:type="paragraph" w:styleId="Odlomakpopisa">
    <w:name w:val="List Paragraph"/>
    <w:basedOn w:val="Normal"/>
    <w:uiPriority w:val="34"/>
    <w:qFormat/>
    <w:rsid w:val="00702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oce.hr/" TargetMode="External"/><Relationship Id="rId5" Type="http://schemas.openxmlformats.org/officeDocument/2006/relationships/hyperlink" Target="mailto:esavjetovanje@ploce.h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Marić</dc:creator>
  <dc:description/>
  <cp:lastModifiedBy>Upravni odjel za gospodarski razvoj</cp:lastModifiedBy>
  <cp:revision>20</cp:revision>
  <cp:lastPrinted>2022-01-20T11:19:00Z</cp:lastPrinted>
  <dcterms:created xsi:type="dcterms:W3CDTF">2022-10-24T13:01:00Z</dcterms:created>
  <dcterms:modified xsi:type="dcterms:W3CDTF">2023-05-19T11:57:00Z</dcterms:modified>
  <dc:language>hr-HR</dc:language>
</cp:coreProperties>
</file>